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6271" w14:textId="2E27E378" w:rsidR="00FC2255" w:rsidRPr="004D6B7D" w:rsidRDefault="00FC2255" w:rsidP="003C2177">
      <w:pPr>
        <w:pStyle w:val="BodyText"/>
        <w:spacing w:line="288" w:lineRule="auto"/>
        <w:ind w:left="118"/>
        <w:rPr>
          <w:sz w:val="20"/>
          <w:lang w:val="en-GB"/>
        </w:rPr>
      </w:pPr>
    </w:p>
    <w:p w14:paraId="767DB2E7" w14:textId="0F69FF73" w:rsidR="003C2177" w:rsidRPr="004D6B7D" w:rsidRDefault="004D6B7D" w:rsidP="004D6B7D">
      <w:pPr>
        <w:pStyle w:val="Title"/>
        <w:spacing w:before="0" w:line="288" w:lineRule="auto"/>
        <w:ind w:left="0"/>
        <w:rPr>
          <w:rFonts w:ascii="Arial" w:hAnsi="Arial" w:cs="Arial"/>
          <w:sz w:val="32"/>
          <w:szCs w:val="32"/>
          <w:lang w:val="en-GB"/>
        </w:rPr>
      </w:pPr>
      <w:r w:rsidRPr="004D6B7D">
        <w:rPr>
          <w:rFonts w:ascii="Arial" w:hAnsi="Arial" w:cs="Arial"/>
          <w:sz w:val="32"/>
          <w:szCs w:val="32"/>
          <w:lang w:val="en-GB"/>
        </w:rPr>
        <w:t>Great British Railways’ Access and Use Policy Disc</w:t>
      </w:r>
      <w:r w:rsidR="00AC6840">
        <w:rPr>
          <w:rFonts w:ascii="Arial" w:hAnsi="Arial" w:cs="Arial"/>
          <w:sz w:val="32"/>
          <w:szCs w:val="32"/>
          <w:lang w:val="en-GB"/>
        </w:rPr>
        <w:t>u</w:t>
      </w:r>
      <w:r w:rsidRPr="004D6B7D">
        <w:rPr>
          <w:rFonts w:ascii="Arial" w:hAnsi="Arial" w:cs="Arial"/>
          <w:sz w:val="32"/>
          <w:szCs w:val="32"/>
          <w:lang w:val="en-GB"/>
        </w:rPr>
        <w:t>ssion Paper</w:t>
      </w:r>
    </w:p>
    <w:p w14:paraId="55EBBD0D" w14:textId="77777777" w:rsidR="003C2177" w:rsidRPr="004D6B7D" w:rsidRDefault="003C2177" w:rsidP="003C2177">
      <w:pPr>
        <w:pStyle w:val="Title"/>
        <w:spacing w:before="0" w:line="288" w:lineRule="auto"/>
        <w:ind w:left="573"/>
        <w:rPr>
          <w:rFonts w:ascii="Arial" w:hAnsi="Arial" w:cs="Arial"/>
          <w:sz w:val="24"/>
          <w:szCs w:val="24"/>
          <w:lang w:val="en-GB"/>
        </w:rPr>
      </w:pPr>
    </w:p>
    <w:p w14:paraId="58B3725D" w14:textId="2786B941" w:rsidR="00FC2255" w:rsidRPr="004D6B7D" w:rsidRDefault="00000000" w:rsidP="00043CA5">
      <w:pPr>
        <w:pStyle w:val="Title"/>
        <w:spacing w:before="0" w:line="288" w:lineRule="auto"/>
        <w:ind w:left="431" w:hanging="431"/>
        <w:rPr>
          <w:rFonts w:ascii="Arial" w:hAnsi="Arial" w:cs="Arial"/>
          <w:sz w:val="22"/>
          <w:szCs w:val="22"/>
          <w:lang w:val="en-GB"/>
        </w:rPr>
      </w:pPr>
      <w:r w:rsidRPr="004D6B7D">
        <w:rPr>
          <w:rFonts w:ascii="Arial" w:hAnsi="Arial" w:cs="Arial"/>
          <w:sz w:val="22"/>
          <w:szCs w:val="22"/>
          <w:lang w:val="en-GB"/>
        </w:rPr>
        <w:t>Response from Rail Freight Group (RFG)</w:t>
      </w:r>
    </w:p>
    <w:p w14:paraId="2836A6C9" w14:textId="77777777" w:rsidR="003C2177" w:rsidRPr="004D6B7D" w:rsidRDefault="003C2177" w:rsidP="003C2177">
      <w:pPr>
        <w:pStyle w:val="Title"/>
        <w:spacing w:before="0" w:line="288" w:lineRule="auto"/>
        <w:ind w:left="573"/>
        <w:rPr>
          <w:rFonts w:ascii="Arial" w:hAnsi="Arial" w:cs="Arial"/>
          <w:sz w:val="22"/>
          <w:szCs w:val="22"/>
          <w:lang w:val="en-GB"/>
        </w:rPr>
      </w:pPr>
    </w:p>
    <w:p w14:paraId="77373725" w14:textId="1A88796B" w:rsidR="00FC2255" w:rsidRPr="004D6B7D" w:rsidRDefault="004D6B7D" w:rsidP="004D6B7D">
      <w:pPr>
        <w:spacing w:line="288" w:lineRule="auto"/>
        <w:ind w:left="431" w:hanging="431"/>
        <w:rPr>
          <w:lang w:val="en-GB"/>
        </w:rPr>
      </w:pPr>
      <w:r w:rsidRPr="004D6B7D">
        <w:rPr>
          <w:lang w:val="en-GB"/>
        </w:rPr>
        <w:t>January 2026</w:t>
      </w:r>
    </w:p>
    <w:p w14:paraId="16A94C9A" w14:textId="77777777" w:rsidR="004D6B7D" w:rsidRPr="004D6B7D" w:rsidRDefault="004D6B7D" w:rsidP="004D6B7D">
      <w:pPr>
        <w:spacing w:line="288" w:lineRule="auto"/>
        <w:ind w:left="431" w:hanging="431"/>
        <w:rPr>
          <w:lang w:val="en-GB"/>
        </w:rPr>
      </w:pPr>
    </w:p>
    <w:p w14:paraId="23B45062" w14:textId="37CC0350" w:rsidR="000D7668" w:rsidRPr="004D6B7D" w:rsidRDefault="000D7668" w:rsidP="00043CA5">
      <w:pPr>
        <w:pStyle w:val="BodyText"/>
        <w:spacing w:before="87" w:line="288" w:lineRule="auto"/>
        <w:ind w:left="0"/>
        <w:rPr>
          <w:b/>
          <w:bCs/>
          <w:i/>
          <w:iCs/>
          <w:sz w:val="22"/>
          <w:szCs w:val="22"/>
          <w:lang w:val="en-GB"/>
        </w:rPr>
      </w:pPr>
      <w:r w:rsidRPr="004D6B7D">
        <w:rPr>
          <w:b/>
          <w:bCs/>
          <w:i/>
          <w:iCs/>
          <w:sz w:val="22"/>
          <w:szCs w:val="22"/>
          <w:lang w:val="en-GB"/>
        </w:rPr>
        <w:t>Introduction</w:t>
      </w:r>
    </w:p>
    <w:p w14:paraId="1C4B6CB9" w14:textId="09C6611E" w:rsidR="00FC2255" w:rsidRPr="004D6B7D" w:rsidRDefault="003C2177" w:rsidP="00043CA5">
      <w:pPr>
        <w:pStyle w:val="BodyText"/>
        <w:numPr>
          <w:ilvl w:val="0"/>
          <w:numId w:val="2"/>
        </w:numPr>
        <w:spacing w:line="288" w:lineRule="auto"/>
        <w:ind w:left="357" w:hanging="357"/>
        <w:rPr>
          <w:sz w:val="22"/>
          <w:szCs w:val="22"/>
          <w:lang w:val="en-GB"/>
        </w:rPr>
      </w:pPr>
      <w:r w:rsidRPr="004D6B7D">
        <w:rPr>
          <w:sz w:val="22"/>
          <w:szCs w:val="22"/>
          <w:lang w:val="en-GB"/>
        </w:rPr>
        <w:t xml:space="preserve">Rail Freight Group is pleased to respond to </w:t>
      </w:r>
      <w:r w:rsidR="004D6B7D" w:rsidRPr="004D6B7D">
        <w:rPr>
          <w:sz w:val="22"/>
          <w:szCs w:val="22"/>
          <w:lang w:val="en-GB"/>
        </w:rPr>
        <w:t xml:space="preserve">Network Rail’s discussion document on Great British Railways’ Access and Use policy. </w:t>
      </w:r>
      <w:r w:rsidR="00247861" w:rsidRPr="004D6B7D">
        <w:rPr>
          <w:sz w:val="22"/>
          <w:szCs w:val="22"/>
          <w:lang w:val="en-GB"/>
        </w:rPr>
        <w:t>This response is not confidential.</w:t>
      </w:r>
    </w:p>
    <w:p w14:paraId="4A32D902" w14:textId="069D4B58" w:rsidR="00FC2255" w:rsidRPr="004D6B7D" w:rsidRDefault="00000000" w:rsidP="00043CA5">
      <w:pPr>
        <w:pStyle w:val="BodyText"/>
        <w:numPr>
          <w:ilvl w:val="0"/>
          <w:numId w:val="2"/>
        </w:numPr>
        <w:spacing w:before="251" w:line="288" w:lineRule="auto"/>
        <w:ind w:left="357" w:hanging="357"/>
        <w:rPr>
          <w:sz w:val="22"/>
          <w:szCs w:val="22"/>
          <w:lang w:val="en-GB"/>
        </w:rPr>
      </w:pPr>
      <w:bookmarkStart w:id="0" w:name="_Hlk160010122"/>
      <w:r w:rsidRPr="004D6B7D">
        <w:rPr>
          <w:sz w:val="22"/>
          <w:szCs w:val="22"/>
          <w:lang w:val="en-GB"/>
        </w:rPr>
        <w:t>RFG is the representative body for rail freight in the UK, and we campaign for a greater use of rail freight, to deliver environmental and economic benefits for the UK. We have over 1</w:t>
      </w:r>
      <w:r w:rsidR="00247861" w:rsidRPr="004D6B7D">
        <w:rPr>
          <w:sz w:val="22"/>
          <w:szCs w:val="22"/>
          <w:lang w:val="en-GB"/>
        </w:rPr>
        <w:t>3</w:t>
      </w:r>
      <w:r w:rsidRPr="004D6B7D">
        <w:rPr>
          <w:sz w:val="22"/>
          <w:szCs w:val="22"/>
          <w:lang w:val="en-GB"/>
        </w:rPr>
        <w:t>0 member companies including train operators, end customers,</w:t>
      </w:r>
      <w:r w:rsidR="00247861" w:rsidRPr="004D6B7D">
        <w:rPr>
          <w:sz w:val="22"/>
          <w:szCs w:val="22"/>
          <w:lang w:val="en-GB"/>
        </w:rPr>
        <w:t xml:space="preserve"> </w:t>
      </w:r>
      <w:r w:rsidRPr="004D6B7D">
        <w:rPr>
          <w:sz w:val="22"/>
          <w:szCs w:val="22"/>
          <w:lang w:val="en-GB"/>
        </w:rPr>
        <w:t>ports and terminal operators, suppliers including locomotive and wagon companies and support services.</w:t>
      </w:r>
      <w:r w:rsidR="00247861" w:rsidRPr="004D6B7D">
        <w:rPr>
          <w:sz w:val="22"/>
          <w:szCs w:val="22"/>
          <w:lang w:val="en-GB"/>
        </w:rPr>
        <w:t xml:space="preserve"> </w:t>
      </w:r>
      <w:bookmarkEnd w:id="0"/>
    </w:p>
    <w:p w14:paraId="1BBC115F" w14:textId="64DF7B95" w:rsidR="00FC2255" w:rsidRPr="006B3C5B" w:rsidRDefault="000D7668" w:rsidP="00043CA5">
      <w:pPr>
        <w:pStyle w:val="BodyText"/>
        <w:spacing w:before="16" w:line="288" w:lineRule="auto"/>
        <w:ind w:left="0"/>
        <w:rPr>
          <w:b/>
          <w:bCs/>
          <w:sz w:val="22"/>
          <w:szCs w:val="22"/>
          <w:lang w:val="en-GB"/>
        </w:rPr>
      </w:pPr>
      <w:r w:rsidRPr="004D6B7D">
        <w:rPr>
          <w:sz w:val="22"/>
          <w:szCs w:val="22"/>
          <w:lang w:val="en-GB"/>
        </w:rPr>
        <w:br/>
      </w:r>
      <w:r w:rsidRPr="004D6B7D">
        <w:rPr>
          <w:b/>
          <w:bCs/>
          <w:i/>
          <w:iCs/>
          <w:sz w:val="22"/>
          <w:szCs w:val="22"/>
          <w:lang w:val="en-GB"/>
        </w:rPr>
        <w:t>Summary</w:t>
      </w:r>
    </w:p>
    <w:p w14:paraId="20626E17" w14:textId="0196529E" w:rsidR="006B3C5B" w:rsidRPr="006B3C5B" w:rsidRDefault="00640A63" w:rsidP="00640A63">
      <w:pPr>
        <w:pStyle w:val="BodyText"/>
        <w:numPr>
          <w:ilvl w:val="0"/>
          <w:numId w:val="2"/>
        </w:numPr>
        <w:spacing w:before="251" w:line="288" w:lineRule="auto"/>
        <w:ind w:left="357" w:hanging="357"/>
        <w:rPr>
          <w:i/>
          <w:iCs/>
          <w:sz w:val="22"/>
          <w:szCs w:val="22"/>
          <w:lang w:val="en-GB"/>
        </w:rPr>
      </w:pPr>
      <w:r w:rsidRPr="006B3C5B">
        <w:rPr>
          <w:sz w:val="22"/>
          <w:szCs w:val="22"/>
          <w:lang w:val="en-GB"/>
        </w:rPr>
        <w:t>We recognise the significant changes to the access framework which are being made under the Railways Bill 2025, and the work which is presently ongoing to design the new regime.  We appreciate the consultative and open approach and the opportunities that we have had to engage and help shape the thinking.  Along with our members we remain committed to supporting that work, and in helping to design the best possible framework in support of rail freight growth.  In that context we also recognise that the position paper reflects the developed thinking at a moment in time, with work still ongoing.</w:t>
      </w:r>
    </w:p>
    <w:p w14:paraId="5E79EE45" w14:textId="77777777" w:rsidR="006B3C5B" w:rsidRPr="006B3C5B" w:rsidRDefault="006B3C5B" w:rsidP="00640A63">
      <w:pPr>
        <w:pStyle w:val="BodyText"/>
        <w:numPr>
          <w:ilvl w:val="0"/>
          <w:numId w:val="2"/>
        </w:numPr>
        <w:spacing w:before="251" w:line="288" w:lineRule="auto"/>
        <w:ind w:left="357" w:hanging="357"/>
        <w:rPr>
          <w:sz w:val="22"/>
          <w:szCs w:val="22"/>
          <w:lang w:val="en-GB"/>
        </w:rPr>
      </w:pPr>
      <w:r>
        <w:rPr>
          <w:sz w:val="22"/>
          <w:szCs w:val="22"/>
          <w:lang w:val="en-GB"/>
        </w:rPr>
        <w:t>Like GBR we wish to see an access framework which is fair, agile and delivers best value.  Our key concerns, as compared to the regime today however are;</w:t>
      </w:r>
    </w:p>
    <w:p w14:paraId="45F427BB" w14:textId="42A50AC6" w:rsidR="006B3C5B" w:rsidRDefault="006B3C5B" w:rsidP="006B3C5B">
      <w:pPr>
        <w:pStyle w:val="BodyText"/>
        <w:numPr>
          <w:ilvl w:val="1"/>
          <w:numId w:val="2"/>
        </w:numPr>
        <w:spacing w:before="251" w:line="288" w:lineRule="auto"/>
        <w:rPr>
          <w:sz w:val="22"/>
          <w:szCs w:val="22"/>
          <w:lang w:val="en-GB"/>
        </w:rPr>
      </w:pPr>
      <w:r>
        <w:rPr>
          <w:sz w:val="22"/>
          <w:szCs w:val="22"/>
          <w:lang w:val="en-GB"/>
        </w:rPr>
        <w:t>The loss of independence, with decision making moving to GBR, which in turn will be a vertically integrated monopoly of track and train.  This means that the safeguards in the Bill and AUP must be strong and effective.</w:t>
      </w:r>
    </w:p>
    <w:p w14:paraId="389920A5" w14:textId="65862339" w:rsidR="006B3C5B" w:rsidRDefault="006B3C5B" w:rsidP="006B3C5B">
      <w:pPr>
        <w:pStyle w:val="BodyText"/>
        <w:numPr>
          <w:ilvl w:val="1"/>
          <w:numId w:val="2"/>
        </w:numPr>
        <w:spacing w:before="251" w:line="288" w:lineRule="auto"/>
        <w:rPr>
          <w:sz w:val="22"/>
          <w:szCs w:val="22"/>
          <w:lang w:val="en-GB"/>
        </w:rPr>
      </w:pPr>
      <w:r>
        <w:rPr>
          <w:sz w:val="22"/>
          <w:szCs w:val="22"/>
          <w:lang w:val="en-GB"/>
        </w:rPr>
        <w:t>The ability for commercial freight services operating on behalf of customers to be removed from the network if other services are deemed to be higher value.  We believe there should be a greater weight placed on existing trains than new.</w:t>
      </w:r>
    </w:p>
    <w:p w14:paraId="476BD343" w14:textId="316DF423" w:rsidR="00640A63" w:rsidRPr="006B3C5B" w:rsidRDefault="006B3C5B" w:rsidP="006B3C5B">
      <w:pPr>
        <w:pStyle w:val="BodyText"/>
        <w:numPr>
          <w:ilvl w:val="1"/>
          <w:numId w:val="2"/>
        </w:numPr>
        <w:spacing w:before="251" w:line="288" w:lineRule="auto"/>
        <w:rPr>
          <w:sz w:val="22"/>
          <w:szCs w:val="22"/>
          <w:lang w:val="en-GB"/>
        </w:rPr>
      </w:pPr>
      <w:r>
        <w:rPr>
          <w:sz w:val="22"/>
          <w:szCs w:val="22"/>
          <w:lang w:val="en-GB"/>
        </w:rPr>
        <w:t>The need to maintain a national network for freight with productive and efficient end to end paths, which appears harder to achieve through the new locally based capacity plans.</w:t>
      </w:r>
      <w:r w:rsidR="00640A63" w:rsidRPr="006B3C5B">
        <w:rPr>
          <w:sz w:val="22"/>
          <w:szCs w:val="22"/>
          <w:lang w:val="en-GB"/>
        </w:rPr>
        <w:br/>
      </w:r>
    </w:p>
    <w:p w14:paraId="1C88191A" w14:textId="63F3552E" w:rsidR="00A13B14" w:rsidRPr="008A788B" w:rsidRDefault="00640A63" w:rsidP="00043CA5">
      <w:pPr>
        <w:pStyle w:val="ListParagraph"/>
        <w:numPr>
          <w:ilvl w:val="0"/>
          <w:numId w:val="2"/>
        </w:numPr>
        <w:spacing w:line="288" w:lineRule="auto"/>
        <w:ind w:left="357" w:hanging="357"/>
        <w:rPr>
          <w:lang w:val="en-GB"/>
        </w:rPr>
      </w:pPr>
      <w:r w:rsidRPr="006B3C5B">
        <w:rPr>
          <w:lang w:val="en-GB"/>
        </w:rPr>
        <w:t xml:space="preserve">We are particularly concerned that </w:t>
      </w:r>
      <w:r w:rsidR="008A788B">
        <w:rPr>
          <w:lang w:val="en-GB"/>
        </w:rPr>
        <w:t>the plans for</w:t>
      </w:r>
      <w:r w:rsidR="006B3C5B">
        <w:rPr>
          <w:lang w:val="en-GB"/>
        </w:rPr>
        <w:t xml:space="preserve"> c</w:t>
      </w:r>
      <w:r w:rsidRPr="006B3C5B">
        <w:rPr>
          <w:lang w:val="en-GB"/>
        </w:rPr>
        <w:t xml:space="preserve">apacity allocation in the position papers </w:t>
      </w:r>
      <w:r w:rsidR="00072EE8" w:rsidRPr="006B3C5B">
        <w:rPr>
          <w:lang w:val="en-GB"/>
        </w:rPr>
        <w:t>are</w:t>
      </w:r>
      <w:r w:rsidRPr="006B3C5B">
        <w:rPr>
          <w:lang w:val="en-GB"/>
        </w:rPr>
        <w:t xml:space="preserve"> still far from </w:t>
      </w:r>
      <w:r w:rsidR="008A788B">
        <w:rPr>
          <w:lang w:val="en-GB"/>
        </w:rPr>
        <w:t xml:space="preserve">being a </w:t>
      </w:r>
      <w:r w:rsidRPr="006B3C5B">
        <w:rPr>
          <w:lang w:val="en-GB"/>
        </w:rPr>
        <w:t xml:space="preserve">coherent and repeatable </w:t>
      </w:r>
      <w:r w:rsidR="008A788B">
        <w:rPr>
          <w:lang w:val="en-GB"/>
        </w:rPr>
        <w:t>process</w:t>
      </w:r>
      <w:r w:rsidRPr="006B3C5B">
        <w:rPr>
          <w:lang w:val="en-GB"/>
        </w:rPr>
        <w:t>, which will provide the necessary certainty for freight operators and customers.  Even recognising that this is a work in progress there is a lack of consistency and clarity in the documents.  We believe that the work would benefit from some ‘testing’ against potential future situations and greater clarity on how the process will work for cross network operations.   The AUP also needs to be consistent with the Bill provisions including how and where the GBR capacity duty will be used.</w:t>
      </w:r>
      <w:r w:rsidR="000D7668" w:rsidRPr="006B3C5B">
        <w:rPr>
          <w:highlight w:val="yellow"/>
          <w:lang w:val="en-GB"/>
        </w:rPr>
        <w:br/>
      </w:r>
    </w:p>
    <w:p w14:paraId="57B93C03" w14:textId="684F5467" w:rsidR="00640A63" w:rsidRPr="00B21AF0" w:rsidRDefault="00640A63" w:rsidP="00B21AF0">
      <w:pPr>
        <w:pStyle w:val="ListParagraph"/>
        <w:widowControl/>
        <w:numPr>
          <w:ilvl w:val="0"/>
          <w:numId w:val="2"/>
        </w:numPr>
        <w:autoSpaceDE/>
        <w:autoSpaceDN/>
        <w:spacing w:line="288" w:lineRule="auto"/>
        <w:ind w:left="357" w:hanging="357"/>
        <w:contextualSpacing/>
        <w:rPr>
          <w:lang w:val="en-GB"/>
        </w:rPr>
      </w:pPr>
      <w:r w:rsidRPr="008A788B">
        <w:rPr>
          <w:lang w:val="en-GB"/>
        </w:rPr>
        <w:t>We recognise the key provisions for the track access charging framework, and have a greater clarity on this than on capacity allocation.  However, there is a need for the proposals to fully align with the legal framework, and we are concerned that the AUP does not become a blueprint for raising charges.</w:t>
      </w:r>
      <w:r w:rsidR="00B21AF0">
        <w:rPr>
          <w:i/>
          <w:iCs/>
          <w:lang w:val="en-GB"/>
        </w:rPr>
        <w:t xml:space="preserve">  </w:t>
      </w:r>
      <w:r w:rsidRPr="00B21AF0">
        <w:rPr>
          <w:lang w:val="en-GB"/>
        </w:rPr>
        <w:t>We note that more work will be required to design the new performance regimes for planned and unplanned disruption, care must be taken to avoid a significant transfer of risk to rail freight and to ensure legal compliance.</w:t>
      </w:r>
      <w:r w:rsidRPr="00B21AF0">
        <w:rPr>
          <w:lang w:val="en-GB"/>
        </w:rPr>
        <w:br/>
      </w:r>
    </w:p>
    <w:p w14:paraId="5C3CCA57" w14:textId="77777777" w:rsidR="00640A63" w:rsidRPr="008A788B" w:rsidRDefault="00640A63" w:rsidP="00043CA5">
      <w:pPr>
        <w:pStyle w:val="ListParagraph"/>
        <w:widowControl/>
        <w:numPr>
          <w:ilvl w:val="0"/>
          <w:numId w:val="2"/>
        </w:numPr>
        <w:autoSpaceDE/>
        <w:autoSpaceDN/>
        <w:spacing w:line="288" w:lineRule="auto"/>
        <w:ind w:left="357" w:hanging="357"/>
        <w:contextualSpacing/>
        <w:rPr>
          <w:lang w:val="en-GB"/>
        </w:rPr>
      </w:pPr>
      <w:r w:rsidRPr="00B21AF0">
        <w:rPr>
          <w:lang w:val="en-GB"/>
        </w:rPr>
        <w:t>We would welcome further information on the transition to the new regime and how ‘Access Day’ interfaces with GBR go live and also the expected end of the control period.  We are unclear on how the legal basis will align across different ‘stage gates’ for the start of the new regime.</w:t>
      </w:r>
      <w:r w:rsidRPr="0096511E">
        <w:rPr>
          <w:i/>
          <w:iCs/>
          <w:highlight w:val="yellow"/>
          <w:lang w:val="en-GB"/>
        </w:rPr>
        <w:br/>
      </w:r>
    </w:p>
    <w:p w14:paraId="0D636A14" w14:textId="77777777" w:rsidR="00134CB3" w:rsidRPr="008A788B" w:rsidRDefault="00640A63" w:rsidP="00043CA5">
      <w:pPr>
        <w:pStyle w:val="ListParagraph"/>
        <w:widowControl/>
        <w:numPr>
          <w:ilvl w:val="0"/>
          <w:numId w:val="2"/>
        </w:numPr>
        <w:autoSpaceDE/>
        <w:autoSpaceDN/>
        <w:spacing w:line="288" w:lineRule="auto"/>
        <w:ind w:left="357" w:hanging="357"/>
        <w:contextualSpacing/>
        <w:rPr>
          <w:lang w:val="en-GB"/>
        </w:rPr>
      </w:pPr>
      <w:r w:rsidRPr="008A788B">
        <w:rPr>
          <w:lang w:val="en-GB"/>
        </w:rPr>
        <w:t xml:space="preserve">We have already set out our concerns over some of the provisions in the Bill, in particular on the ORR </w:t>
      </w:r>
      <w:r w:rsidR="00134CB3" w:rsidRPr="008A788B">
        <w:rPr>
          <w:lang w:val="en-GB"/>
        </w:rPr>
        <w:t>appeals function.  Any internal escalation processes within GBR must be designed to fit with the timescale requirements of an ORR appeal under JR principles.</w:t>
      </w:r>
      <w:r w:rsidR="00134CB3" w:rsidRPr="008A788B">
        <w:rPr>
          <w:lang w:val="en-GB"/>
        </w:rPr>
        <w:br/>
      </w:r>
    </w:p>
    <w:p w14:paraId="5A954234" w14:textId="34F69671" w:rsidR="00A13B14" w:rsidRPr="008A788B" w:rsidRDefault="00134CB3" w:rsidP="008A788B">
      <w:pPr>
        <w:pStyle w:val="ListParagraph"/>
        <w:widowControl/>
        <w:numPr>
          <w:ilvl w:val="0"/>
          <w:numId w:val="2"/>
        </w:numPr>
        <w:autoSpaceDE/>
        <w:autoSpaceDN/>
        <w:spacing w:line="288" w:lineRule="auto"/>
        <w:ind w:left="357" w:hanging="357"/>
        <w:contextualSpacing/>
        <w:rPr>
          <w:lang w:val="en-GB"/>
        </w:rPr>
      </w:pPr>
      <w:r w:rsidRPr="008A788B">
        <w:rPr>
          <w:lang w:val="en-GB"/>
        </w:rPr>
        <w:t>We note that GBR will need to secure confidential information from operators and potentially customers in order to evaluate the use of capacity and charges.  There must be strong protocols regarding what data is required, how it is stored and used within GBR and frameworks which prevent data being shared with competitors or used to secure competitive advantage for GBR or other parties.</w:t>
      </w:r>
      <w:r w:rsidR="00AF1C61" w:rsidRPr="004D6B7D">
        <w:rPr>
          <w:lang w:val="en-GB"/>
        </w:rPr>
        <w:br/>
      </w:r>
      <w:r w:rsidR="00AF1C61" w:rsidRPr="008A788B">
        <w:rPr>
          <w:lang w:val="en-GB"/>
        </w:rPr>
        <w:br/>
      </w:r>
    </w:p>
    <w:p w14:paraId="2D5CAD44" w14:textId="313330FD" w:rsidR="00AF1C61" w:rsidRDefault="00AF1C61" w:rsidP="00043CA5">
      <w:pPr>
        <w:widowControl/>
        <w:autoSpaceDE/>
        <w:autoSpaceDN/>
        <w:spacing w:line="288" w:lineRule="auto"/>
        <w:contextualSpacing/>
        <w:rPr>
          <w:lang w:val="en-GB"/>
        </w:rPr>
      </w:pPr>
      <w:r w:rsidRPr="004D6B7D">
        <w:rPr>
          <w:b/>
          <w:bCs/>
          <w:i/>
          <w:iCs/>
          <w:lang w:val="en-GB"/>
        </w:rPr>
        <w:t xml:space="preserve">Specific Comments </w:t>
      </w:r>
      <w:r w:rsidRPr="004D6B7D">
        <w:rPr>
          <w:lang w:val="en-GB"/>
        </w:rPr>
        <w:br/>
      </w:r>
    </w:p>
    <w:p w14:paraId="2A5EAE6A" w14:textId="54A9769E" w:rsidR="00134CB3" w:rsidRPr="00134CB3" w:rsidRDefault="00134CB3" w:rsidP="00043CA5">
      <w:pPr>
        <w:widowControl/>
        <w:autoSpaceDE/>
        <w:autoSpaceDN/>
        <w:spacing w:line="288" w:lineRule="auto"/>
        <w:contextualSpacing/>
        <w:rPr>
          <w:i/>
          <w:iCs/>
          <w:lang w:val="en-GB"/>
        </w:rPr>
      </w:pPr>
      <w:r>
        <w:rPr>
          <w:i/>
          <w:iCs/>
          <w:lang w:val="en-GB"/>
        </w:rPr>
        <w:t xml:space="preserve">Introductory Comments </w:t>
      </w:r>
    </w:p>
    <w:p w14:paraId="5E8E087D" w14:textId="241FE94F" w:rsidR="00134CB3" w:rsidRDefault="00A27D27"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We note the introductory comments, and understand the high level principles of the new framework being described.  However, there are inconsistencies across the text, </w:t>
      </w:r>
      <w:r w:rsidR="0058049C">
        <w:rPr>
          <w:lang w:val="en-GB"/>
        </w:rPr>
        <w:t>for example in the first three paragraphs the use of the network is described as needing to deliver ‘best value’, ‘public interest’ and ‘long term economic value’.  This inconsistency is unhelpful in understanding what GBR wish to achieve through these changes.</w:t>
      </w:r>
      <w:r w:rsidR="00C81FC2">
        <w:rPr>
          <w:lang w:val="en-GB"/>
        </w:rPr>
        <w:t xml:space="preserve">  For the </w:t>
      </w:r>
      <w:r w:rsidR="00C81FC2">
        <w:rPr>
          <w:lang w:val="en-GB"/>
        </w:rPr>
        <w:lastRenderedPageBreak/>
        <w:t>final AUP it will be important to be consistently clear on such points.</w:t>
      </w:r>
      <w:r w:rsidR="00134CB3">
        <w:rPr>
          <w:lang w:val="en-GB"/>
        </w:rPr>
        <w:br/>
      </w:r>
    </w:p>
    <w:p w14:paraId="2C51C9A3" w14:textId="5EA8B3AF" w:rsidR="0058049C" w:rsidRDefault="0058049C"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The diagram in </w:t>
      </w:r>
      <w:r w:rsidR="00C81FC2">
        <w:rPr>
          <w:lang w:val="en-GB"/>
        </w:rPr>
        <w:t>1</w:t>
      </w:r>
      <w:r>
        <w:rPr>
          <w:lang w:val="en-GB"/>
        </w:rPr>
        <w:t>.2 makes no reference to the plans and objectives of other network users than GBR, or those who wish to invest, for example in rail freight interchanges.  It is a concern that these are not part of the high level description.</w:t>
      </w:r>
      <w:r>
        <w:rPr>
          <w:lang w:val="en-GB"/>
        </w:rPr>
        <w:br/>
      </w:r>
    </w:p>
    <w:p w14:paraId="45BCE596" w14:textId="62E44D9D" w:rsidR="0058049C" w:rsidRPr="0058049C" w:rsidRDefault="0058049C" w:rsidP="0058049C">
      <w:pPr>
        <w:widowControl/>
        <w:autoSpaceDE/>
        <w:autoSpaceDN/>
        <w:spacing w:line="288" w:lineRule="auto"/>
        <w:contextualSpacing/>
        <w:rPr>
          <w:lang w:val="en-GB"/>
        </w:rPr>
      </w:pPr>
      <w:r>
        <w:rPr>
          <w:i/>
          <w:iCs/>
          <w:lang w:val="en-GB"/>
        </w:rPr>
        <w:t>Statutory Duties and principles of the policy</w:t>
      </w:r>
      <w:r w:rsidRPr="0058049C">
        <w:rPr>
          <w:lang w:val="en-GB"/>
        </w:rPr>
        <w:br/>
      </w:r>
    </w:p>
    <w:p w14:paraId="0E2A5AE7" w14:textId="0932242F" w:rsidR="00C81FC2" w:rsidRDefault="00C81FC2" w:rsidP="00A01EAD">
      <w:pPr>
        <w:pStyle w:val="ListParagraph"/>
        <w:widowControl/>
        <w:numPr>
          <w:ilvl w:val="0"/>
          <w:numId w:val="2"/>
        </w:numPr>
        <w:autoSpaceDE/>
        <w:autoSpaceDN/>
        <w:spacing w:line="288" w:lineRule="auto"/>
        <w:ind w:left="357" w:hanging="357"/>
        <w:contextualSpacing/>
        <w:rPr>
          <w:lang w:val="en-GB"/>
        </w:rPr>
      </w:pPr>
      <w:r>
        <w:rPr>
          <w:lang w:val="en-GB"/>
        </w:rPr>
        <w:t>We agree that the AUP should set out how GBR will use its legal duties to make decisions, and also framework the processes which will be used, ensuring compliance with all the relevant clauses in the law.  We note that the AUP may also have subsidiary documents, and the AUP should clarify which of these are part of the overarching legal framework set out in Cl 59 of the Bill.  This is important when considering the right of appeal under Cl 68.</w:t>
      </w:r>
      <w:r>
        <w:rPr>
          <w:lang w:val="en-GB"/>
        </w:rPr>
        <w:br/>
      </w:r>
    </w:p>
    <w:p w14:paraId="38D145FD" w14:textId="0FB8A77D" w:rsidR="00C81FC2" w:rsidRDefault="00C81FC2"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In section 1, Enacting Government Policy, we note the requirement for GBR to take account of the strategies of Government(s).  It should be clarified if this relates only to specific rail strategies, or whether GBR should also take account of other published documents, for example the Industrial Strategy.  </w:t>
      </w:r>
      <w:r>
        <w:rPr>
          <w:lang w:val="en-GB"/>
        </w:rPr>
        <w:br/>
      </w:r>
    </w:p>
    <w:p w14:paraId="6E4618A6" w14:textId="77777777" w:rsidR="006C2F4A" w:rsidRDefault="00C81FC2"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In section 3, Overall and Best Value it references benefits being assessed on a ‘case be case’ basis.   It is essential that there is a consistent approach to avoid discriminatory or anti-competitive outcomes.  The paragraph also </w:t>
      </w:r>
      <w:r w:rsidR="006C2F4A">
        <w:rPr>
          <w:lang w:val="en-GB"/>
        </w:rPr>
        <w:t>mentions benefits being assessed across specific geographies and it unclear how this will be achieved for trains which cross multiple such geographies.</w:t>
      </w:r>
      <w:r w:rsidR="006C2F4A">
        <w:rPr>
          <w:lang w:val="en-GB"/>
        </w:rPr>
        <w:br/>
      </w:r>
    </w:p>
    <w:p w14:paraId="5047070F" w14:textId="0C532A31" w:rsidR="00971F7B" w:rsidRDefault="006C2F4A"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We agree that the AUP principles should give certainty for funders and operators, and this should also extend to customers and investors.   A customer who has invested in new wagons or terminals, or who has reconfigured their supply chain to use rail needs certainty of access as well as their chosen freight operator.  </w:t>
      </w:r>
      <w:r w:rsidR="004F43A6">
        <w:rPr>
          <w:lang w:val="en-GB"/>
        </w:rPr>
        <w:t>The</w:t>
      </w:r>
      <w:r>
        <w:rPr>
          <w:lang w:val="en-GB"/>
        </w:rPr>
        <w:t xml:space="preserve"> process for awarding capacity commitments, their duration and the interface with the capacity planning process </w:t>
      </w:r>
      <w:r w:rsidR="004F43A6">
        <w:rPr>
          <w:lang w:val="en-GB"/>
        </w:rPr>
        <w:t xml:space="preserve">still </w:t>
      </w:r>
      <w:r>
        <w:rPr>
          <w:lang w:val="en-GB"/>
        </w:rPr>
        <w:t>remains unclear.  Longer contracts, whilst welcome, are of much less value if capacity commitments can only be offered in line with geographic Infrastructure Capacity Plans (ICPs</w:t>
      </w:r>
      <w:r w:rsidR="004F43A6">
        <w:rPr>
          <w:lang w:val="en-GB"/>
        </w:rPr>
        <w:t>) w</w:t>
      </w:r>
      <w:r w:rsidR="00A01EAD">
        <w:rPr>
          <w:lang w:val="en-GB"/>
        </w:rPr>
        <w:t>hich may have</w:t>
      </w:r>
      <w:r w:rsidR="004F43A6">
        <w:rPr>
          <w:lang w:val="en-GB"/>
        </w:rPr>
        <w:t xml:space="preserve"> shorter </w:t>
      </w:r>
      <w:r w:rsidR="00A01EAD">
        <w:rPr>
          <w:lang w:val="en-GB"/>
        </w:rPr>
        <w:t xml:space="preserve">or overlapping </w:t>
      </w:r>
      <w:r w:rsidR="004F43A6">
        <w:rPr>
          <w:lang w:val="en-GB"/>
        </w:rPr>
        <w:t>durations</w:t>
      </w:r>
      <w:r>
        <w:rPr>
          <w:lang w:val="en-GB"/>
        </w:rPr>
        <w:t xml:space="preserve">.  There is concern that capacity commitments for different flows will all be of different lengths, leading to a complex </w:t>
      </w:r>
      <w:r w:rsidR="004F43A6">
        <w:rPr>
          <w:lang w:val="en-GB"/>
        </w:rPr>
        <w:t xml:space="preserve">contractual web.  </w:t>
      </w:r>
      <w:r w:rsidR="00971F7B">
        <w:rPr>
          <w:lang w:val="en-GB"/>
        </w:rPr>
        <w:br/>
      </w:r>
    </w:p>
    <w:p w14:paraId="4BD57E13" w14:textId="451CDD57" w:rsidR="00713E0E" w:rsidRDefault="00713E0E" w:rsidP="00713E0E">
      <w:pPr>
        <w:widowControl/>
        <w:autoSpaceDE/>
        <w:autoSpaceDN/>
        <w:spacing w:line="288" w:lineRule="auto"/>
        <w:contextualSpacing/>
        <w:rPr>
          <w:lang w:val="en-GB"/>
        </w:rPr>
      </w:pPr>
      <w:r>
        <w:rPr>
          <w:i/>
          <w:iCs/>
          <w:lang w:val="en-GB"/>
        </w:rPr>
        <w:t>Emerging Policy Proposals</w:t>
      </w:r>
      <w:r w:rsidRPr="00713E0E">
        <w:rPr>
          <w:lang w:val="en-GB"/>
        </w:rPr>
        <w:br/>
      </w:r>
    </w:p>
    <w:p w14:paraId="0610BE31" w14:textId="246C4DC7" w:rsidR="00713E0E" w:rsidRPr="00013549" w:rsidRDefault="00013549" w:rsidP="00713E0E">
      <w:pPr>
        <w:widowControl/>
        <w:autoSpaceDE/>
        <w:autoSpaceDN/>
        <w:spacing w:line="288" w:lineRule="auto"/>
        <w:contextualSpacing/>
        <w:rPr>
          <w:lang w:val="en-GB"/>
        </w:rPr>
      </w:pPr>
      <w:r>
        <w:rPr>
          <w:i/>
          <w:iCs/>
          <w:lang w:val="en-GB"/>
        </w:rPr>
        <w:t xml:space="preserve">Capacity Allocation </w:t>
      </w:r>
      <w:r w:rsidR="00713E0E">
        <w:rPr>
          <w:i/>
          <w:iCs/>
          <w:lang w:val="en-GB"/>
        </w:rPr>
        <w:br/>
      </w:r>
    </w:p>
    <w:p w14:paraId="296B8F6B" w14:textId="77777777" w:rsidR="00A01EAD" w:rsidRDefault="00A01EAD"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We recognise that the processes outlined in the paper and the Annex reflect current thinking and with more work yet to be undertaken.  We have tried to summarise our </w:t>
      </w:r>
      <w:r>
        <w:rPr>
          <w:lang w:val="en-GB"/>
        </w:rPr>
        <w:lastRenderedPageBreak/>
        <w:t>comments across the main document and Annex together as follows.</w:t>
      </w:r>
      <w:r>
        <w:rPr>
          <w:lang w:val="en-GB"/>
        </w:rPr>
        <w:br/>
      </w:r>
    </w:p>
    <w:p w14:paraId="76824EC8" w14:textId="14D75676" w:rsidR="00A01EAD" w:rsidRPr="008A788B" w:rsidRDefault="00290B92" w:rsidP="00043CA5">
      <w:pPr>
        <w:pStyle w:val="ListParagraph"/>
        <w:widowControl/>
        <w:numPr>
          <w:ilvl w:val="0"/>
          <w:numId w:val="2"/>
        </w:numPr>
        <w:autoSpaceDE/>
        <w:autoSpaceDN/>
        <w:spacing w:line="288" w:lineRule="auto"/>
        <w:ind w:left="357" w:hanging="357"/>
        <w:contextualSpacing/>
        <w:rPr>
          <w:lang w:val="en-GB"/>
        </w:rPr>
      </w:pPr>
      <w:r w:rsidRPr="008A788B">
        <w:rPr>
          <w:lang w:val="en-GB"/>
        </w:rPr>
        <w:t>The document does not give a</w:t>
      </w:r>
      <w:r w:rsidR="00A01EAD" w:rsidRPr="008A788B">
        <w:rPr>
          <w:lang w:val="en-GB"/>
        </w:rPr>
        <w:t xml:space="preserve"> clear understanding of the interface between long term planning (which is not covered under the AUP) and the development of Infrastructure Capacity Plans (which are).  If decisions on freight capacity allocation are taken during long term planning process, they will not be subject to the appeal function which would be a major concern.  It is also unclear where the value assessment is undertaken.  This is very important because the new process enables freight services to be removed from the network as a consequence of the value assessment, unlike today.  </w:t>
      </w:r>
      <w:r w:rsidR="008A788B" w:rsidRPr="008A788B">
        <w:rPr>
          <w:lang w:val="en-GB"/>
        </w:rPr>
        <w:t xml:space="preserve">Will the value assessment be taken during long term planning, to determine what services or infrastructure should be progressed, or at the ICP stage where commitments and designations are set?  </w:t>
      </w:r>
      <w:r w:rsidR="008A788B">
        <w:rPr>
          <w:lang w:val="en-GB"/>
        </w:rPr>
        <w:t>The</w:t>
      </w:r>
      <w:r w:rsidR="00A01EAD" w:rsidRPr="008A788B">
        <w:rPr>
          <w:lang w:val="en-GB"/>
        </w:rPr>
        <w:t xml:space="preserve"> process must be clear, consistent, repeatable and subject to appeal.</w:t>
      </w:r>
      <w:r w:rsidR="00A01EAD" w:rsidRPr="008A788B">
        <w:rPr>
          <w:lang w:val="en-GB"/>
        </w:rPr>
        <w:br/>
      </w:r>
    </w:p>
    <w:p w14:paraId="7AC4BA58" w14:textId="6F7A1E70" w:rsidR="007712E8" w:rsidRDefault="00290B92" w:rsidP="00043CA5">
      <w:pPr>
        <w:pStyle w:val="ListParagraph"/>
        <w:widowControl/>
        <w:numPr>
          <w:ilvl w:val="0"/>
          <w:numId w:val="2"/>
        </w:numPr>
        <w:autoSpaceDE/>
        <w:autoSpaceDN/>
        <w:spacing w:line="288" w:lineRule="auto"/>
        <w:ind w:left="357" w:hanging="357"/>
        <w:contextualSpacing/>
        <w:rPr>
          <w:lang w:val="en-GB"/>
        </w:rPr>
      </w:pPr>
      <w:r>
        <w:rPr>
          <w:lang w:val="en-GB"/>
        </w:rPr>
        <w:t>We note that the long term planning process will be used to test scenarios and identify future potential changes to infrastructure and services.  However</w:t>
      </w:r>
      <w:r w:rsidR="007712E8">
        <w:rPr>
          <w:lang w:val="en-GB"/>
        </w:rPr>
        <w:t xml:space="preserve">, </w:t>
      </w:r>
      <w:r>
        <w:rPr>
          <w:lang w:val="en-GB"/>
        </w:rPr>
        <w:t xml:space="preserve">we are unclear how </w:t>
      </w:r>
      <w:r w:rsidR="007712E8">
        <w:rPr>
          <w:lang w:val="en-GB"/>
        </w:rPr>
        <w:t>‘critical success factors’ for the ICP process arise from this and where the value assessment is undertaken.  This is particularly important if the success factors are relatively specific e.g. doubling the frequency of a service rather than high level ‘grow rail freight’.   There is also a lack of clarity around funder requirements – with some statements suggesting that success factors can only relate to funder requirements, rather than, for example, a specific customer needs.   This should be clarified.</w:t>
      </w:r>
      <w:r w:rsidR="007712E8">
        <w:rPr>
          <w:lang w:val="en-GB"/>
        </w:rPr>
        <w:br/>
      </w:r>
    </w:p>
    <w:p w14:paraId="47566ABE" w14:textId="241C9E8C" w:rsidR="00AB1271" w:rsidRDefault="007712E8" w:rsidP="00043CA5">
      <w:pPr>
        <w:pStyle w:val="ListParagraph"/>
        <w:widowControl/>
        <w:numPr>
          <w:ilvl w:val="0"/>
          <w:numId w:val="2"/>
        </w:numPr>
        <w:autoSpaceDE/>
        <w:autoSpaceDN/>
        <w:spacing w:line="288" w:lineRule="auto"/>
        <w:ind w:left="357" w:hanging="357"/>
        <w:contextualSpacing/>
        <w:rPr>
          <w:lang w:val="en-GB"/>
        </w:rPr>
      </w:pPr>
      <w:r>
        <w:rPr>
          <w:lang w:val="en-GB"/>
        </w:rPr>
        <w:t>The processes for reopening ICPs, reactive capacity allocation and ad hoc requests need to be further developed and be proportionate.  As new freight flows can arise at any time, sometimes without notice, the capacity allocation process must be agile and able to meet customer requirements at pace.  Processes which require</w:t>
      </w:r>
      <w:r w:rsidR="00AB1271">
        <w:rPr>
          <w:lang w:val="en-GB"/>
        </w:rPr>
        <w:t xml:space="preserve"> other user ambitions to be sought and assessed every time a new flow is requested (Annex 2.2) will significantly dampen the ability of freight to grow.</w:t>
      </w:r>
      <w:r w:rsidR="00AB1271">
        <w:rPr>
          <w:lang w:val="en-GB"/>
        </w:rPr>
        <w:br/>
      </w:r>
    </w:p>
    <w:p w14:paraId="2E2D0957" w14:textId="78FB24BE" w:rsidR="005B5FC4" w:rsidRPr="00AB1271" w:rsidRDefault="00AB1271" w:rsidP="00AB1271">
      <w:pPr>
        <w:pStyle w:val="ListParagraph"/>
        <w:widowControl/>
        <w:numPr>
          <w:ilvl w:val="0"/>
          <w:numId w:val="2"/>
        </w:numPr>
        <w:autoSpaceDE/>
        <w:autoSpaceDN/>
        <w:spacing w:line="288" w:lineRule="auto"/>
        <w:ind w:left="357" w:hanging="357"/>
        <w:contextualSpacing/>
        <w:rPr>
          <w:lang w:val="en-GB"/>
        </w:rPr>
      </w:pPr>
      <w:r>
        <w:rPr>
          <w:lang w:val="en-GB"/>
        </w:rPr>
        <w:t>The document recognises the need for cross network alignment of ICPs, but there is no clarity on how this will be achieved in practice and this needs to be developed.  This include</w:t>
      </w:r>
      <w:r w:rsidR="008A788B">
        <w:rPr>
          <w:lang w:val="en-GB"/>
        </w:rPr>
        <w:t>s</w:t>
      </w:r>
      <w:r>
        <w:rPr>
          <w:lang w:val="en-GB"/>
        </w:rPr>
        <w:t xml:space="preserve"> capacity for engineering work which needs to maximise the ability to divert freight rather than cancel services.</w:t>
      </w:r>
      <w:r w:rsidR="005B5FC4" w:rsidRPr="00AB1271">
        <w:rPr>
          <w:lang w:val="en-GB"/>
        </w:rPr>
        <w:br/>
      </w:r>
    </w:p>
    <w:p w14:paraId="33EF1745" w14:textId="2BC6ED6E" w:rsidR="00C14BA2" w:rsidRDefault="005B5FC4" w:rsidP="00AB1271">
      <w:pPr>
        <w:pStyle w:val="ListParagraph"/>
        <w:widowControl/>
        <w:numPr>
          <w:ilvl w:val="0"/>
          <w:numId w:val="2"/>
        </w:numPr>
        <w:autoSpaceDE/>
        <w:autoSpaceDN/>
        <w:spacing w:line="288" w:lineRule="auto"/>
        <w:ind w:left="357" w:hanging="357"/>
        <w:contextualSpacing/>
        <w:rPr>
          <w:lang w:val="en-GB"/>
        </w:rPr>
      </w:pPr>
      <w:r>
        <w:rPr>
          <w:lang w:val="en-GB"/>
        </w:rPr>
        <w:t xml:space="preserve">We are concerned, bottom of first column on page 8, that asset resilience may be used to influence future decisions on capacity.  It would be too easy for routes to simply allow infrastructure to degrade for freight (e.g. RA) by allowing future designations to prevent heavy trains operating.  We do not think the capacity allocation process should be the determining factor in </w:t>
      </w:r>
      <w:r w:rsidR="000357F3">
        <w:rPr>
          <w:lang w:val="en-GB"/>
        </w:rPr>
        <w:t>decisions on asset management.</w:t>
      </w:r>
      <w:r w:rsidR="00C14BA2">
        <w:rPr>
          <w:lang w:val="en-GB"/>
        </w:rPr>
        <w:br/>
      </w:r>
    </w:p>
    <w:p w14:paraId="2CAE6E27" w14:textId="19D18F80" w:rsidR="00F509A6" w:rsidRPr="00AB1271" w:rsidRDefault="00C14BA2" w:rsidP="00AB1271">
      <w:pPr>
        <w:pStyle w:val="ListParagraph"/>
        <w:widowControl/>
        <w:numPr>
          <w:ilvl w:val="0"/>
          <w:numId w:val="2"/>
        </w:numPr>
        <w:autoSpaceDE/>
        <w:autoSpaceDN/>
        <w:spacing w:line="288" w:lineRule="auto"/>
        <w:ind w:left="357" w:hanging="357"/>
        <w:contextualSpacing/>
        <w:rPr>
          <w:lang w:val="en-GB"/>
        </w:rPr>
      </w:pPr>
      <w:r>
        <w:rPr>
          <w:lang w:val="en-GB"/>
        </w:rPr>
        <w:t xml:space="preserve">We note that GBR will set disaggregated freight growth targets for local areas.  Whilst we understand that growth will not be equal everywhere, such targets should not act to disincentivise support for freight at local levels, and must ensure that end to end capacity </w:t>
      </w:r>
      <w:r>
        <w:rPr>
          <w:lang w:val="en-GB"/>
        </w:rPr>
        <w:lastRenderedPageBreak/>
        <w:t>for long distance flows is managed.</w:t>
      </w:r>
      <w:r w:rsidR="00F509A6" w:rsidRPr="00AB1271">
        <w:rPr>
          <w:lang w:val="en-GB"/>
        </w:rPr>
        <w:br/>
      </w:r>
    </w:p>
    <w:p w14:paraId="0B91ECE5" w14:textId="77777777" w:rsidR="00F509A6" w:rsidRDefault="00F509A6" w:rsidP="00043CA5">
      <w:pPr>
        <w:pStyle w:val="ListParagraph"/>
        <w:widowControl/>
        <w:numPr>
          <w:ilvl w:val="0"/>
          <w:numId w:val="2"/>
        </w:numPr>
        <w:autoSpaceDE/>
        <w:autoSpaceDN/>
        <w:spacing w:line="288" w:lineRule="auto"/>
        <w:ind w:left="357" w:hanging="357"/>
        <w:contextualSpacing/>
        <w:rPr>
          <w:lang w:val="en-GB"/>
        </w:rPr>
      </w:pPr>
      <w:r>
        <w:rPr>
          <w:lang w:val="en-GB"/>
        </w:rPr>
        <w:t>We are concerned by the proposals to restrict capacity requests which are received after the scope is set.  Given the lengthy timescales expected for capacity assessments, and the potential number likely to be underway at any time, this would be a major restriction for new freight flows particularly on a cross network basis.  This appears to be an attempt to restrict ad hoc requests for access.</w:t>
      </w:r>
      <w:r>
        <w:rPr>
          <w:lang w:val="en-GB"/>
        </w:rPr>
        <w:br/>
      </w:r>
    </w:p>
    <w:p w14:paraId="068123F0" w14:textId="4E791F5D" w:rsidR="00F509A6" w:rsidRPr="00AB1271" w:rsidRDefault="00F509A6" w:rsidP="00AB1271">
      <w:pPr>
        <w:pStyle w:val="ListParagraph"/>
        <w:widowControl/>
        <w:numPr>
          <w:ilvl w:val="0"/>
          <w:numId w:val="2"/>
        </w:numPr>
        <w:autoSpaceDE/>
        <w:autoSpaceDN/>
        <w:spacing w:line="288" w:lineRule="auto"/>
        <w:ind w:left="357" w:hanging="357"/>
        <w:contextualSpacing/>
        <w:rPr>
          <w:lang w:val="en-GB"/>
        </w:rPr>
      </w:pPr>
      <w:r>
        <w:rPr>
          <w:lang w:val="en-GB"/>
        </w:rPr>
        <w:t>On governance, it is important that the accountable leader has a specific requirement for delivering the freight growth duty in their role.  There will also need to be clear requirements to ensure freight is included properly throughout the process, not as an afterthought.</w:t>
      </w:r>
      <w:r w:rsidR="00AB1271">
        <w:rPr>
          <w:lang w:val="en-GB"/>
        </w:rPr>
        <w:t xml:space="preserve">  Given the scale of the work anticipated by this process, the overall workload for the industry must be considered.</w:t>
      </w:r>
      <w:r w:rsidRPr="00AB1271">
        <w:rPr>
          <w:lang w:val="en-GB"/>
        </w:rPr>
        <w:br/>
      </w:r>
    </w:p>
    <w:p w14:paraId="4EC3F099" w14:textId="1469FFD3" w:rsidR="00CE34EC" w:rsidRPr="00AB1271" w:rsidRDefault="00F509A6" w:rsidP="00AB1271">
      <w:pPr>
        <w:pStyle w:val="ListParagraph"/>
        <w:widowControl/>
        <w:numPr>
          <w:ilvl w:val="0"/>
          <w:numId w:val="2"/>
        </w:numPr>
        <w:autoSpaceDE/>
        <w:autoSpaceDN/>
        <w:spacing w:line="288" w:lineRule="auto"/>
        <w:ind w:left="357" w:hanging="357"/>
        <w:contextualSpacing/>
        <w:rPr>
          <w:lang w:val="en-GB"/>
        </w:rPr>
      </w:pPr>
      <w:r>
        <w:rPr>
          <w:lang w:val="en-GB"/>
        </w:rPr>
        <w:t>We note in 5.1 that GBR intends to reserve capacity in the plans for engineering work.  We believe there must be a commitment to minimising this requirement to the least amount necessary, rather than making sweeping ‘blocks’ of capacity just in case.  The plans should also be aligned to maximise the potential for freight services to be diverted consistently when there is work in one area.  The blocks should also be cognisant of freight customer requirements.</w:t>
      </w:r>
      <w:r w:rsidR="00CE34EC">
        <w:rPr>
          <w:lang w:val="en-GB"/>
        </w:rPr>
        <w:t xml:space="preserve">  For example, 1 week in 6 blocks can be particularly disruptive for some users, whilst aligning work with scheduled customer shut downs can be helpful.</w:t>
      </w:r>
      <w:r w:rsidR="00CE34EC" w:rsidRPr="00AB1271">
        <w:rPr>
          <w:lang w:val="en-GB"/>
        </w:rPr>
        <w:br/>
      </w:r>
    </w:p>
    <w:p w14:paraId="2BC62572" w14:textId="77777777" w:rsidR="00FF2854" w:rsidRDefault="00CE34EC" w:rsidP="00043CA5">
      <w:pPr>
        <w:pStyle w:val="ListParagraph"/>
        <w:widowControl/>
        <w:numPr>
          <w:ilvl w:val="0"/>
          <w:numId w:val="2"/>
        </w:numPr>
        <w:autoSpaceDE/>
        <w:autoSpaceDN/>
        <w:spacing w:line="288" w:lineRule="auto"/>
        <w:ind w:left="357" w:hanging="357"/>
        <w:contextualSpacing/>
        <w:rPr>
          <w:lang w:val="en-GB"/>
        </w:rPr>
      </w:pPr>
      <w:r>
        <w:rPr>
          <w:lang w:val="en-GB"/>
        </w:rPr>
        <w:t>We note the complexity over capacity designations.  The experience to date of trying to hold strategic capacity shows that it can be very challenging to meaningfully protect space for freight growth, and we would expect the new process to provide greater levels of safeguard.   This will be particularly important for investors in new terminals and facilities.</w:t>
      </w:r>
      <w:r w:rsidR="00FF2854">
        <w:rPr>
          <w:lang w:val="en-GB"/>
        </w:rPr>
        <w:br/>
      </w:r>
    </w:p>
    <w:p w14:paraId="3B1A3126" w14:textId="4BC7DFE8" w:rsidR="00AF1C61" w:rsidRPr="00AB1271" w:rsidRDefault="00FF2854" w:rsidP="00AB1271">
      <w:pPr>
        <w:pStyle w:val="ListParagraph"/>
        <w:widowControl/>
        <w:numPr>
          <w:ilvl w:val="0"/>
          <w:numId w:val="2"/>
        </w:numPr>
        <w:autoSpaceDE/>
        <w:autoSpaceDN/>
        <w:spacing w:line="288" w:lineRule="auto"/>
        <w:ind w:left="357" w:hanging="357"/>
        <w:contextualSpacing/>
        <w:rPr>
          <w:lang w:val="en-GB"/>
        </w:rPr>
      </w:pPr>
      <w:r>
        <w:rPr>
          <w:lang w:val="en-GB"/>
        </w:rPr>
        <w:t xml:space="preserve">We have significant concerns over the legal framework for appeals as set out in the Bill.  Although in principle we support a pre appeal resolution process, this must not be allowed to frustrate the appeals process and in particular must ensure that appeals can be brought within the </w:t>
      </w:r>
      <w:r w:rsidR="00B21AF0">
        <w:rPr>
          <w:lang w:val="en-GB"/>
        </w:rPr>
        <w:t>3-month</w:t>
      </w:r>
      <w:r>
        <w:rPr>
          <w:lang w:val="en-GB"/>
        </w:rPr>
        <w:t xml:space="preserve"> timescale required to meet judicial review principles</w:t>
      </w:r>
      <w:r w:rsidR="008A788B">
        <w:rPr>
          <w:lang w:val="en-GB"/>
        </w:rPr>
        <w:t xml:space="preserve"> of the ORR process.</w:t>
      </w:r>
      <w:r w:rsidR="009C7820" w:rsidRPr="00AB1271">
        <w:rPr>
          <w:lang w:val="en-GB"/>
        </w:rPr>
        <w:br/>
      </w:r>
    </w:p>
    <w:p w14:paraId="71FA671D" w14:textId="7F3E54F1" w:rsidR="0096511E" w:rsidRPr="0096511E" w:rsidRDefault="0096511E" w:rsidP="0096511E">
      <w:pPr>
        <w:widowControl/>
        <w:autoSpaceDE/>
        <w:autoSpaceDN/>
        <w:spacing w:line="288" w:lineRule="auto"/>
        <w:contextualSpacing/>
        <w:rPr>
          <w:lang w:val="en-GB"/>
        </w:rPr>
      </w:pPr>
      <w:r>
        <w:rPr>
          <w:i/>
          <w:iCs/>
          <w:lang w:val="en-GB"/>
        </w:rPr>
        <w:t>Access Conditions incl</w:t>
      </w:r>
      <w:r w:rsidR="00445409">
        <w:rPr>
          <w:i/>
          <w:iCs/>
          <w:lang w:val="en-GB"/>
        </w:rPr>
        <w:t>.</w:t>
      </w:r>
      <w:r>
        <w:rPr>
          <w:i/>
          <w:iCs/>
          <w:lang w:val="en-GB"/>
        </w:rPr>
        <w:t xml:space="preserve"> Annex 2</w:t>
      </w:r>
      <w:r w:rsidRPr="0096511E">
        <w:rPr>
          <w:lang w:val="en-GB"/>
        </w:rPr>
        <w:br/>
      </w:r>
    </w:p>
    <w:p w14:paraId="184752FE" w14:textId="75BA803C" w:rsidR="0096511E" w:rsidRDefault="00445409" w:rsidP="00043CA5">
      <w:pPr>
        <w:pStyle w:val="ListParagraph"/>
        <w:widowControl/>
        <w:numPr>
          <w:ilvl w:val="0"/>
          <w:numId w:val="2"/>
        </w:numPr>
        <w:autoSpaceDE/>
        <w:autoSpaceDN/>
        <w:spacing w:line="288" w:lineRule="auto"/>
        <w:ind w:left="357" w:hanging="357"/>
        <w:contextualSpacing/>
        <w:rPr>
          <w:lang w:val="en-GB"/>
        </w:rPr>
      </w:pPr>
      <w:r>
        <w:rPr>
          <w:lang w:val="en-GB"/>
        </w:rPr>
        <w:t>We understand the principle of the change to capacity commitments from access rights, and also of capacity designations, which we support.  However, the length of capacity commitments is far from clear.  If a commitment length is linked to the duration of an ICP (Annex</w:t>
      </w:r>
      <w:r w:rsidR="00C22557">
        <w:rPr>
          <w:lang w:val="en-GB"/>
        </w:rPr>
        <w:t xml:space="preserve"> 1</w:t>
      </w:r>
      <w:r>
        <w:rPr>
          <w:lang w:val="en-GB"/>
        </w:rPr>
        <w:t xml:space="preserve">, </w:t>
      </w:r>
      <w:r w:rsidR="00C22557">
        <w:rPr>
          <w:lang w:val="en-GB"/>
        </w:rPr>
        <w:t xml:space="preserve">section </w:t>
      </w:r>
      <w:r>
        <w:rPr>
          <w:lang w:val="en-GB"/>
        </w:rPr>
        <w:t xml:space="preserve">2.3), then a flow that crosses multiple ICPs will be capped to the shortest length, and Annex 1 further notes that requests for capacity will be restricted when an ICP is being evaluated.  This risks capacity commitments being of quite short duration, and also that each flow and commitment having a different end date, making a </w:t>
      </w:r>
      <w:r>
        <w:rPr>
          <w:lang w:val="en-GB"/>
        </w:rPr>
        <w:lastRenderedPageBreak/>
        <w:t>complex web for operators.   As any service can be removed from the network once the commitment has expired, this adds much greater uncertainty than today.  We believe that capacity commitments should be a fixed duration of at least 5 years, regardless of the ICPs durations.</w:t>
      </w:r>
      <w:r w:rsidR="0096511E">
        <w:rPr>
          <w:lang w:val="en-GB"/>
        </w:rPr>
        <w:br/>
      </w:r>
    </w:p>
    <w:p w14:paraId="4B74CA79" w14:textId="1AED1F58" w:rsidR="00445409" w:rsidRDefault="00445409" w:rsidP="00445409">
      <w:pPr>
        <w:pStyle w:val="ListParagraph"/>
        <w:widowControl/>
        <w:numPr>
          <w:ilvl w:val="0"/>
          <w:numId w:val="2"/>
        </w:numPr>
        <w:autoSpaceDE/>
        <w:autoSpaceDN/>
        <w:spacing w:line="288" w:lineRule="auto"/>
        <w:ind w:left="357" w:hanging="357"/>
        <w:contextualSpacing/>
        <w:rPr>
          <w:lang w:val="en-GB"/>
        </w:rPr>
      </w:pPr>
      <w:r>
        <w:rPr>
          <w:lang w:val="en-GB"/>
        </w:rPr>
        <w:t xml:space="preserve">We agree that mechanisms such as use it or lose it and the freight transfer mechanism should continue to exist.   </w:t>
      </w:r>
      <w:r w:rsidRPr="00445409">
        <w:rPr>
          <w:lang w:val="en-GB"/>
        </w:rPr>
        <w:t>W</w:t>
      </w:r>
      <w:r w:rsidR="009807A3">
        <w:rPr>
          <w:lang w:val="en-GB"/>
        </w:rPr>
        <w:t xml:space="preserve">e strongly </w:t>
      </w:r>
      <w:r w:rsidRPr="00445409">
        <w:rPr>
          <w:lang w:val="en-GB"/>
        </w:rPr>
        <w:t xml:space="preserve">support long term access contracts, </w:t>
      </w:r>
      <w:r w:rsidR="009807A3">
        <w:rPr>
          <w:lang w:val="en-GB"/>
        </w:rPr>
        <w:t>but t</w:t>
      </w:r>
      <w:r w:rsidRPr="00445409">
        <w:rPr>
          <w:lang w:val="en-GB"/>
        </w:rPr>
        <w:t xml:space="preserve">hey will not give any certainty unless they are matched to capacity commitments.  </w:t>
      </w:r>
      <w:r>
        <w:rPr>
          <w:lang w:val="en-GB"/>
        </w:rPr>
        <w:br/>
      </w:r>
    </w:p>
    <w:p w14:paraId="3489C209" w14:textId="15D83103" w:rsidR="00E730D8" w:rsidRDefault="00445409" w:rsidP="00445409">
      <w:pPr>
        <w:pStyle w:val="ListParagraph"/>
        <w:widowControl/>
        <w:numPr>
          <w:ilvl w:val="0"/>
          <w:numId w:val="2"/>
        </w:numPr>
        <w:autoSpaceDE/>
        <w:autoSpaceDN/>
        <w:spacing w:line="288" w:lineRule="auto"/>
        <w:ind w:left="357" w:hanging="357"/>
        <w:contextualSpacing/>
        <w:rPr>
          <w:lang w:val="en-GB"/>
        </w:rPr>
      </w:pPr>
      <w:r>
        <w:rPr>
          <w:lang w:val="en-GB"/>
        </w:rPr>
        <w:t>We agree that combining contracts, where relevant, would be a simplification.  However</w:t>
      </w:r>
      <w:r w:rsidR="009807A3">
        <w:rPr>
          <w:lang w:val="en-GB"/>
        </w:rPr>
        <w:t>,</w:t>
      </w:r>
      <w:r>
        <w:rPr>
          <w:lang w:val="en-GB"/>
        </w:rPr>
        <w:t xml:space="preserve"> we note that there is a complex set of arrangements for freight across the network, and care must be taken to be consistent and avoid anticompetitive effects.</w:t>
      </w:r>
      <w:r w:rsidR="00E730D8">
        <w:rPr>
          <w:lang w:val="en-GB"/>
        </w:rPr>
        <w:br/>
      </w:r>
    </w:p>
    <w:p w14:paraId="45C25166" w14:textId="77777777" w:rsidR="00E730D8" w:rsidRDefault="00E730D8" w:rsidP="00445409">
      <w:pPr>
        <w:pStyle w:val="ListParagraph"/>
        <w:widowControl/>
        <w:numPr>
          <w:ilvl w:val="0"/>
          <w:numId w:val="2"/>
        </w:numPr>
        <w:autoSpaceDE/>
        <w:autoSpaceDN/>
        <w:spacing w:line="288" w:lineRule="auto"/>
        <w:ind w:left="357" w:hanging="357"/>
        <w:contextualSpacing/>
        <w:rPr>
          <w:lang w:val="en-GB"/>
        </w:rPr>
      </w:pPr>
      <w:r>
        <w:rPr>
          <w:lang w:val="en-GB"/>
        </w:rPr>
        <w:t>We support a continuation of the current dispute mechanism, noting that timescales need to be set to enable an appeal to the ORR to be possible within the required three months.</w:t>
      </w:r>
      <w:r>
        <w:rPr>
          <w:lang w:val="en-GB"/>
        </w:rPr>
        <w:br/>
      </w:r>
    </w:p>
    <w:p w14:paraId="6C0CF1BC" w14:textId="11036214" w:rsidR="0096511E" w:rsidRPr="00445409" w:rsidRDefault="00E730D8" w:rsidP="00445409">
      <w:pPr>
        <w:pStyle w:val="ListParagraph"/>
        <w:widowControl/>
        <w:numPr>
          <w:ilvl w:val="0"/>
          <w:numId w:val="2"/>
        </w:numPr>
        <w:autoSpaceDE/>
        <w:autoSpaceDN/>
        <w:spacing w:line="288" w:lineRule="auto"/>
        <w:ind w:left="357" w:hanging="357"/>
        <w:contextualSpacing/>
        <w:rPr>
          <w:lang w:val="en-GB"/>
        </w:rPr>
      </w:pPr>
      <w:r>
        <w:rPr>
          <w:lang w:val="en-GB"/>
        </w:rPr>
        <w:t>We note the proposals around managing change, these will need to be open, consultative and fair, with a right of appeal.   In designing GBR’s structure it will be important to have separation between those teams looking after contract conditions and those with specific interests in the operation of GBR services.</w:t>
      </w:r>
      <w:r w:rsidR="0096511E" w:rsidRPr="00445409">
        <w:rPr>
          <w:lang w:val="en-GB"/>
        </w:rPr>
        <w:br/>
      </w:r>
    </w:p>
    <w:p w14:paraId="7CE28147" w14:textId="4F44EE15" w:rsidR="0096511E" w:rsidRPr="0096511E" w:rsidRDefault="0096511E" w:rsidP="0096511E">
      <w:pPr>
        <w:widowControl/>
        <w:autoSpaceDE/>
        <w:autoSpaceDN/>
        <w:spacing w:line="288" w:lineRule="auto"/>
        <w:contextualSpacing/>
        <w:rPr>
          <w:lang w:val="en-GB"/>
        </w:rPr>
      </w:pPr>
      <w:r>
        <w:rPr>
          <w:i/>
          <w:iCs/>
          <w:lang w:val="en-GB"/>
        </w:rPr>
        <w:t>Charges and Performa</w:t>
      </w:r>
      <w:r w:rsidR="00E764D3">
        <w:rPr>
          <w:i/>
          <w:iCs/>
          <w:lang w:val="en-GB"/>
        </w:rPr>
        <w:t>n</w:t>
      </w:r>
      <w:r>
        <w:rPr>
          <w:i/>
          <w:iCs/>
          <w:lang w:val="en-GB"/>
        </w:rPr>
        <w:t>ce Incl</w:t>
      </w:r>
      <w:r w:rsidR="00E764D3">
        <w:rPr>
          <w:i/>
          <w:iCs/>
          <w:lang w:val="en-GB"/>
        </w:rPr>
        <w:t>.</w:t>
      </w:r>
      <w:r>
        <w:rPr>
          <w:i/>
          <w:iCs/>
          <w:lang w:val="en-GB"/>
        </w:rPr>
        <w:t xml:space="preserve"> Annex 3</w:t>
      </w:r>
      <w:r w:rsidRPr="0096511E">
        <w:rPr>
          <w:lang w:val="en-GB"/>
        </w:rPr>
        <w:br/>
      </w:r>
    </w:p>
    <w:p w14:paraId="5AFEC995" w14:textId="77777777" w:rsidR="00185132" w:rsidRDefault="001A13D5"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We note the proposals for charges and performance, which are broadly clear.  We support maintaining a similar framework to today.  It should be noted however that over the last two – three control periods there have been very significant increases in freight track access charges, which is now hampering our competitiveness with road freight.  Any changes </w:t>
      </w:r>
      <w:r w:rsidR="00185132">
        <w:rPr>
          <w:lang w:val="en-GB"/>
        </w:rPr>
        <w:t>should not be used as an excuse to further increase charges.</w:t>
      </w:r>
      <w:r w:rsidR="00185132">
        <w:rPr>
          <w:lang w:val="en-GB"/>
        </w:rPr>
        <w:br/>
      </w:r>
    </w:p>
    <w:p w14:paraId="3BF80B64" w14:textId="26D4949B" w:rsidR="00185132" w:rsidRDefault="00185132" w:rsidP="00043CA5">
      <w:pPr>
        <w:pStyle w:val="ListParagraph"/>
        <w:widowControl/>
        <w:numPr>
          <w:ilvl w:val="0"/>
          <w:numId w:val="2"/>
        </w:numPr>
        <w:autoSpaceDE/>
        <w:autoSpaceDN/>
        <w:spacing w:line="288" w:lineRule="auto"/>
        <w:ind w:left="357" w:hanging="357"/>
        <w:contextualSpacing/>
        <w:rPr>
          <w:lang w:val="en-GB"/>
        </w:rPr>
      </w:pPr>
      <w:r>
        <w:rPr>
          <w:lang w:val="en-GB"/>
        </w:rPr>
        <w:t>We support the retention of CDI as the basis of core charges as set out in the Bill.  We further agree that the costs should reflect an efficient level of expenditure, with future projections of efficiency where possible.  We do not understand why there needs to be any significant revision to the definition of CDI which is well established in current law. GBR will need to ensure that its data collection is able to support the collection of CDI – for example if integrated maintenance teams work on track and stations only the track costs will be valid in the CDI calculation for freight.</w:t>
      </w:r>
      <w:r>
        <w:rPr>
          <w:lang w:val="en-GB"/>
        </w:rPr>
        <w:br/>
      </w:r>
    </w:p>
    <w:p w14:paraId="39FFAF66" w14:textId="77777777" w:rsidR="00185132" w:rsidRDefault="00185132" w:rsidP="00043CA5">
      <w:pPr>
        <w:pStyle w:val="ListParagraph"/>
        <w:widowControl/>
        <w:numPr>
          <w:ilvl w:val="0"/>
          <w:numId w:val="2"/>
        </w:numPr>
        <w:autoSpaceDE/>
        <w:autoSpaceDN/>
        <w:spacing w:line="288" w:lineRule="auto"/>
        <w:ind w:left="357" w:hanging="357"/>
        <w:contextualSpacing/>
        <w:rPr>
          <w:lang w:val="en-GB"/>
        </w:rPr>
      </w:pPr>
      <w:r>
        <w:rPr>
          <w:lang w:val="en-GB"/>
        </w:rPr>
        <w:t>We note that there are options around how charges are set by vehicle characteristics etc which need to be established.  It will be important to provide continuity where investments have been made on the back of the current regime.</w:t>
      </w:r>
      <w:r>
        <w:rPr>
          <w:lang w:val="en-GB"/>
        </w:rPr>
        <w:br/>
      </w:r>
    </w:p>
    <w:p w14:paraId="1E14A3EB" w14:textId="765F575C" w:rsidR="00185132" w:rsidRDefault="00185132"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We note the ability for GBR to levy an ancillary charge as defined in law.  However, we are not sure that the ‘market can bear’ test as described in the position paper aligns with </w:t>
      </w:r>
      <w:r>
        <w:rPr>
          <w:lang w:val="en-GB"/>
        </w:rPr>
        <w:lastRenderedPageBreak/>
        <w:t>the new legal test of what an ‘efficient operator’ can bear.  The new test appears to us to preclude any assessment of wider impacts beyond the operator and thus differential charging by market.  This will need to have legal clarification.</w:t>
      </w:r>
      <w:r>
        <w:rPr>
          <w:lang w:val="en-GB"/>
        </w:rPr>
        <w:br/>
      </w:r>
    </w:p>
    <w:p w14:paraId="61E7A535" w14:textId="6AC9DF73" w:rsidR="00E76218" w:rsidRDefault="00185132" w:rsidP="00043CA5">
      <w:pPr>
        <w:pStyle w:val="ListParagraph"/>
        <w:widowControl/>
        <w:numPr>
          <w:ilvl w:val="0"/>
          <w:numId w:val="2"/>
        </w:numPr>
        <w:autoSpaceDE/>
        <w:autoSpaceDN/>
        <w:spacing w:line="288" w:lineRule="auto"/>
        <w:ind w:left="357" w:hanging="357"/>
        <w:contextualSpacing/>
        <w:rPr>
          <w:lang w:val="en-GB"/>
        </w:rPr>
      </w:pPr>
      <w:r>
        <w:rPr>
          <w:lang w:val="en-GB"/>
        </w:rPr>
        <w:t>In a similar vein</w:t>
      </w:r>
      <w:r w:rsidR="00E76218">
        <w:rPr>
          <w:lang w:val="en-GB"/>
        </w:rPr>
        <w:t>, the paper say that the legislation permits GBR to levy reservation charges, but our reading of the Bill is that it must have such a scheme.  Again, this needs to be clarified.</w:t>
      </w:r>
      <w:r w:rsidR="009807A3">
        <w:rPr>
          <w:lang w:val="en-GB"/>
        </w:rPr>
        <w:t xml:space="preserve">  We do not support the introduction of a reservation charge scheme which adds potentially significant cost and complexity for freight and GBR.</w:t>
      </w:r>
      <w:r w:rsidR="00E76218">
        <w:rPr>
          <w:lang w:val="en-GB"/>
        </w:rPr>
        <w:br/>
      </w:r>
    </w:p>
    <w:p w14:paraId="17A0F4CE" w14:textId="77777777" w:rsidR="00E76218" w:rsidRDefault="00E76218" w:rsidP="00043CA5">
      <w:pPr>
        <w:pStyle w:val="ListParagraph"/>
        <w:widowControl/>
        <w:numPr>
          <w:ilvl w:val="0"/>
          <w:numId w:val="2"/>
        </w:numPr>
        <w:autoSpaceDE/>
        <w:autoSpaceDN/>
        <w:spacing w:line="288" w:lineRule="auto"/>
        <w:ind w:left="357" w:hanging="357"/>
        <w:contextualSpacing/>
        <w:rPr>
          <w:lang w:val="en-GB"/>
        </w:rPr>
      </w:pPr>
      <w:r>
        <w:rPr>
          <w:lang w:val="en-GB"/>
        </w:rPr>
        <w:t>We welcome the wider provisions allowing GBR to levy discounted charges, noting the need for a policy around this.</w:t>
      </w:r>
      <w:r>
        <w:rPr>
          <w:lang w:val="en-GB"/>
        </w:rPr>
        <w:br/>
      </w:r>
    </w:p>
    <w:p w14:paraId="607C12A3" w14:textId="5D8E3563" w:rsidR="00E76218" w:rsidRDefault="00E76218" w:rsidP="00043CA5">
      <w:pPr>
        <w:pStyle w:val="ListParagraph"/>
        <w:widowControl/>
        <w:numPr>
          <w:ilvl w:val="0"/>
          <w:numId w:val="2"/>
        </w:numPr>
        <w:autoSpaceDE/>
        <w:autoSpaceDN/>
        <w:spacing w:line="288" w:lineRule="auto"/>
        <w:ind w:left="357" w:hanging="357"/>
        <w:contextualSpacing/>
        <w:rPr>
          <w:lang w:val="en-GB"/>
        </w:rPr>
      </w:pPr>
      <w:r>
        <w:rPr>
          <w:lang w:val="en-GB"/>
        </w:rPr>
        <w:t>We broadly agree with the principles for the charging scheme, but they should explicitly reference the need to grow rail freight (rather than no</w:t>
      </w:r>
      <w:r w:rsidR="009807A3">
        <w:rPr>
          <w:lang w:val="en-GB"/>
        </w:rPr>
        <w:t>t</w:t>
      </w:r>
      <w:r>
        <w:rPr>
          <w:lang w:val="en-GB"/>
        </w:rPr>
        <w:t xml:space="preserve"> penalising it as presently worded).</w:t>
      </w:r>
      <w:r>
        <w:rPr>
          <w:lang w:val="en-GB"/>
        </w:rPr>
        <w:br/>
      </w:r>
    </w:p>
    <w:p w14:paraId="4027DE70" w14:textId="77777777" w:rsidR="009807A3" w:rsidRDefault="00E76218" w:rsidP="00043CA5">
      <w:pPr>
        <w:pStyle w:val="ListParagraph"/>
        <w:widowControl/>
        <w:numPr>
          <w:ilvl w:val="0"/>
          <w:numId w:val="2"/>
        </w:numPr>
        <w:autoSpaceDE/>
        <w:autoSpaceDN/>
        <w:spacing w:line="288" w:lineRule="auto"/>
        <w:ind w:left="357" w:hanging="357"/>
        <w:contextualSpacing/>
        <w:rPr>
          <w:lang w:val="en-GB"/>
        </w:rPr>
      </w:pPr>
      <w:r>
        <w:rPr>
          <w:lang w:val="en-GB"/>
        </w:rPr>
        <w:t xml:space="preserve">We are unclear why connection charges will remain subject to existing charging principles in regulations where the connection sits on GBR infrastructure.  This should be clarified.  </w:t>
      </w:r>
      <w:r w:rsidR="009807A3">
        <w:rPr>
          <w:lang w:val="en-GB"/>
        </w:rPr>
        <w:br/>
      </w:r>
    </w:p>
    <w:p w14:paraId="1E326404" w14:textId="77777777" w:rsidR="00C10C44" w:rsidRDefault="00C10C44" w:rsidP="00043CA5">
      <w:pPr>
        <w:pStyle w:val="ListParagraph"/>
        <w:widowControl/>
        <w:numPr>
          <w:ilvl w:val="0"/>
          <w:numId w:val="2"/>
        </w:numPr>
        <w:autoSpaceDE/>
        <w:autoSpaceDN/>
        <w:spacing w:line="288" w:lineRule="auto"/>
        <w:ind w:left="357" w:hanging="357"/>
        <w:contextualSpacing/>
        <w:rPr>
          <w:lang w:val="en-GB"/>
        </w:rPr>
      </w:pPr>
      <w:r>
        <w:rPr>
          <w:lang w:val="en-GB"/>
        </w:rPr>
        <w:t>We broadly agree with the proposed priorities for the unplanned disruption scheme, but the objective ‘Encourage parties to minimise disruption’ needs to reflect the need to incentivise GBR to minimise disruption to non GBR operators which is not clearly mentioned in the text. This is particularly important for issues which are ‘freight only’ or on parts of the network where there are few passenger services, and also should encourage cross network management of freight disruption.</w:t>
      </w:r>
      <w:r>
        <w:rPr>
          <w:lang w:val="en-GB"/>
        </w:rPr>
        <w:br/>
      </w:r>
    </w:p>
    <w:p w14:paraId="3229E149" w14:textId="7BE657A5" w:rsidR="00C10C44" w:rsidRDefault="00C10C44" w:rsidP="00043CA5">
      <w:pPr>
        <w:pStyle w:val="ListParagraph"/>
        <w:widowControl/>
        <w:numPr>
          <w:ilvl w:val="0"/>
          <w:numId w:val="2"/>
        </w:numPr>
        <w:autoSpaceDE/>
        <w:autoSpaceDN/>
        <w:spacing w:line="288" w:lineRule="auto"/>
        <w:ind w:left="357" w:hanging="357"/>
        <w:contextualSpacing/>
        <w:rPr>
          <w:lang w:val="en-GB"/>
        </w:rPr>
      </w:pPr>
      <w:r>
        <w:rPr>
          <w:lang w:val="en-GB"/>
        </w:rPr>
        <w:t>The AUP provisions need to reflect the Bill, and we have outlined our concerns over the Bill provision which excludes GBR from delays ‘</w:t>
      </w:r>
      <w:r w:rsidR="00B21AF0">
        <w:rPr>
          <w:lang w:val="en-GB"/>
        </w:rPr>
        <w:t>out with</w:t>
      </w:r>
      <w:r>
        <w:rPr>
          <w:lang w:val="en-GB"/>
        </w:rPr>
        <w:t xml:space="preserve"> its control’.  This needs to be fully understood and included.</w:t>
      </w:r>
      <w:r>
        <w:rPr>
          <w:lang w:val="en-GB"/>
        </w:rPr>
        <w:br/>
      </w:r>
    </w:p>
    <w:p w14:paraId="68EC6825" w14:textId="77777777" w:rsidR="00C10C44" w:rsidRDefault="00C10C44" w:rsidP="00043CA5">
      <w:pPr>
        <w:pStyle w:val="ListParagraph"/>
        <w:widowControl/>
        <w:numPr>
          <w:ilvl w:val="0"/>
          <w:numId w:val="2"/>
        </w:numPr>
        <w:autoSpaceDE/>
        <w:autoSpaceDN/>
        <w:spacing w:line="288" w:lineRule="auto"/>
        <w:ind w:left="357" w:hanging="357"/>
        <w:contextualSpacing/>
        <w:rPr>
          <w:lang w:val="en-GB"/>
        </w:rPr>
      </w:pPr>
      <w:r>
        <w:rPr>
          <w:lang w:val="en-GB"/>
        </w:rPr>
        <w:t>We broadly support the principles of the planned disruption scheme, noting that much work is yet required to design the scheme.  The text around ‘optimal outcomes’ needs to be much stronger in the outcomes for freight customers, with a strong preference for trains to be diverted not cancelled, and where appropriate for major customers to be consulted on plans (for example, so they can align with plant shutdowns etc).  The need for GBR to manage access to maintain network wide diversionary capacity should also be included.</w:t>
      </w:r>
      <w:r>
        <w:rPr>
          <w:lang w:val="en-GB"/>
        </w:rPr>
        <w:br/>
      </w:r>
    </w:p>
    <w:p w14:paraId="3645F359" w14:textId="43F1F829" w:rsidR="0096511E" w:rsidRDefault="00DC2A44" w:rsidP="00043CA5">
      <w:pPr>
        <w:pStyle w:val="ListParagraph"/>
        <w:widowControl/>
        <w:numPr>
          <w:ilvl w:val="0"/>
          <w:numId w:val="2"/>
        </w:numPr>
        <w:autoSpaceDE/>
        <w:autoSpaceDN/>
        <w:spacing w:line="288" w:lineRule="auto"/>
        <w:ind w:left="357" w:hanging="357"/>
        <w:contextualSpacing/>
        <w:rPr>
          <w:lang w:val="en-GB"/>
        </w:rPr>
      </w:pPr>
      <w:r>
        <w:rPr>
          <w:lang w:val="en-GB"/>
        </w:rPr>
        <w:t>We agree that the AUP should commit GBR to fair and consultative policies and processes.  This should be legally compliant and also reflect best practice, noting that freight customers and connected infrastructure operators should also be consulted where appropriate.</w:t>
      </w:r>
      <w:r w:rsidR="0096511E">
        <w:rPr>
          <w:lang w:val="en-GB"/>
        </w:rPr>
        <w:br/>
      </w:r>
    </w:p>
    <w:p w14:paraId="6171C6A3" w14:textId="4BE8872C" w:rsidR="0096511E" w:rsidRPr="0096511E" w:rsidRDefault="0096511E" w:rsidP="0096511E">
      <w:pPr>
        <w:widowControl/>
        <w:autoSpaceDE/>
        <w:autoSpaceDN/>
        <w:spacing w:line="288" w:lineRule="auto"/>
        <w:contextualSpacing/>
        <w:rPr>
          <w:lang w:val="en-GB"/>
        </w:rPr>
      </w:pPr>
      <w:r>
        <w:rPr>
          <w:i/>
          <w:iCs/>
          <w:lang w:val="en-GB"/>
        </w:rPr>
        <w:lastRenderedPageBreak/>
        <w:t>Transition Incl. Annex 4</w:t>
      </w:r>
      <w:r w:rsidRPr="0096511E">
        <w:rPr>
          <w:lang w:val="en-GB"/>
        </w:rPr>
        <w:br/>
      </w:r>
    </w:p>
    <w:p w14:paraId="267FB3CD" w14:textId="12F7DD7C" w:rsidR="004D3A66" w:rsidRDefault="00B21AF0" w:rsidP="00043CA5">
      <w:pPr>
        <w:pStyle w:val="ListParagraph"/>
        <w:widowControl/>
        <w:numPr>
          <w:ilvl w:val="0"/>
          <w:numId w:val="2"/>
        </w:numPr>
        <w:autoSpaceDE/>
        <w:autoSpaceDN/>
        <w:spacing w:line="288" w:lineRule="auto"/>
        <w:ind w:left="357" w:hanging="357"/>
        <w:contextualSpacing/>
        <w:rPr>
          <w:lang w:val="en-GB"/>
        </w:rPr>
      </w:pPr>
      <w:r>
        <w:rPr>
          <w:lang w:val="en-GB"/>
        </w:rPr>
        <w:t>We note the significant work required to transition to the new regime, and in principle support the plans as outlined in the Annex.  However, we are unclear how regulations will be used to turn on / off the different elements of the new regime, including how different clause of the AMRs will be deleted for GBR at different stages to facilitate this.  It would be very helpful to see a draft of these regulations to understand how the stages of the process will step out.  It is particularly important that we have full legal clarity at each stage.</w:t>
      </w:r>
      <w:r>
        <w:rPr>
          <w:lang w:val="en-GB"/>
        </w:rPr>
        <w:br/>
      </w:r>
    </w:p>
    <w:p w14:paraId="5F7AD8C8" w14:textId="47395E83" w:rsidR="00B21AF0" w:rsidRDefault="00B21AF0" w:rsidP="00043CA5">
      <w:pPr>
        <w:pStyle w:val="ListParagraph"/>
        <w:widowControl/>
        <w:numPr>
          <w:ilvl w:val="0"/>
          <w:numId w:val="2"/>
        </w:numPr>
        <w:autoSpaceDE/>
        <w:autoSpaceDN/>
        <w:spacing w:line="288" w:lineRule="auto"/>
        <w:ind w:left="357" w:hanging="357"/>
        <w:contextualSpacing/>
        <w:rPr>
          <w:lang w:val="en-GB"/>
        </w:rPr>
      </w:pPr>
      <w:r>
        <w:rPr>
          <w:lang w:val="en-GB"/>
        </w:rPr>
        <w:t>For example, we understand that the current charges will remain in place till the end of the Control Period, which will require the current legal framework to remain in place (otherwise it may be illegal to charge the current mark ups for example).  This may mean that the legal framework for charges will need to be on a different timescale to capacity allocation.</w:t>
      </w:r>
      <w:r>
        <w:rPr>
          <w:lang w:val="en-GB"/>
        </w:rPr>
        <w:br/>
      </w:r>
    </w:p>
    <w:p w14:paraId="2F43DA27" w14:textId="2EDF3FEE" w:rsidR="00B21AF0" w:rsidRDefault="00B21AF0" w:rsidP="00043CA5">
      <w:pPr>
        <w:pStyle w:val="ListParagraph"/>
        <w:widowControl/>
        <w:numPr>
          <w:ilvl w:val="0"/>
          <w:numId w:val="2"/>
        </w:numPr>
        <w:autoSpaceDE/>
        <w:autoSpaceDN/>
        <w:spacing w:line="288" w:lineRule="auto"/>
        <w:ind w:left="357" w:hanging="357"/>
        <w:contextualSpacing/>
        <w:rPr>
          <w:lang w:val="en-GB"/>
        </w:rPr>
      </w:pPr>
      <w:r>
        <w:rPr>
          <w:lang w:val="en-GB"/>
        </w:rPr>
        <w:t>We are concerned that the transition could lead to a ‘gap’ where neither ORR or GBR will be resourced or able to award capacity.  This would be detrimental to freight customers and to achieving growth.  The resource plan will therefore need to facilitate a period of parallel running.  We note that GBR will need to ‘resource up’ for the very significant workload of capacity planning and would be interested to see the plan for this.</w:t>
      </w:r>
      <w:r>
        <w:rPr>
          <w:lang w:val="en-GB"/>
        </w:rPr>
        <w:br/>
      </w:r>
    </w:p>
    <w:p w14:paraId="4B952F41" w14:textId="1EB1EFB4" w:rsidR="00B21AF0" w:rsidRPr="004D6B7D" w:rsidRDefault="00B21AF0" w:rsidP="00043CA5">
      <w:pPr>
        <w:pStyle w:val="ListParagraph"/>
        <w:widowControl/>
        <w:numPr>
          <w:ilvl w:val="0"/>
          <w:numId w:val="2"/>
        </w:numPr>
        <w:autoSpaceDE/>
        <w:autoSpaceDN/>
        <w:spacing w:line="288" w:lineRule="auto"/>
        <w:ind w:left="357" w:hanging="357"/>
        <w:contextualSpacing/>
        <w:rPr>
          <w:lang w:val="en-GB"/>
        </w:rPr>
      </w:pPr>
      <w:r>
        <w:rPr>
          <w:lang w:val="en-GB"/>
        </w:rPr>
        <w:t>We note the need for legal amendments to contracts which will be a cost for operators particularly where they need to secure legal advice.   GBR should seek to minimise the costs to industry wherever possible.</w:t>
      </w:r>
    </w:p>
    <w:p w14:paraId="23CF922E" w14:textId="77777777" w:rsidR="003C2177" w:rsidRPr="004D6B7D" w:rsidRDefault="003C2177" w:rsidP="003C2177">
      <w:pPr>
        <w:spacing w:line="288" w:lineRule="auto"/>
        <w:jc w:val="both"/>
        <w:rPr>
          <w:lang w:val="en-GB"/>
        </w:rPr>
      </w:pPr>
    </w:p>
    <w:p w14:paraId="2737BE13" w14:textId="77777777" w:rsidR="003C2177" w:rsidRPr="004D6B7D" w:rsidRDefault="003C2177" w:rsidP="003C2177">
      <w:pPr>
        <w:spacing w:line="288" w:lineRule="auto"/>
        <w:jc w:val="both"/>
        <w:rPr>
          <w:lang w:val="en-GB"/>
        </w:rPr>
      </w:pPr>
    </w:p>
    <w:p w14:paraId="73C9D6F1" w14:textId="77777777" w:rsidR="003C2177" w:rsidRPr="004D6B7D" w:rsidRDefault="003C2177" w:rsidP="003C2177">
      <w:pPr>
        <w:spacing w:line="288" w:lineRule="auto"/>
        <w:jc w:val="both"/>
        <w:rPr>
          <w:lang w:val="en-GB"/>
        </w:rPr>
      </w:pPr>
    </w:p>
    <w:p w14:paraId="593FB578" w14:textId="77777777" w:rsidR="003C2177" w:rsidRPr="004D6B7D" w:rsidRDefault="003C2177" w:rsidP="003C2177">
      <w:pPr>
        <w:spacing w:line="288" w:lineRule="auto"/>
        <w:jc w:val="both"/>
        <w:rPr>
          <w:lang w:val="en-GB"/>
        </w:rPr>
      </w:pPr>
    </w:p>
    <w:p w14:paraId="2F025898" w14:textId="77777777" w:rsidR="003C2177" w:rsidRPr="004D6B7D" w:rsidRDefault="003C2177" w:rsidP="003C2177">
      <w:pPr>
        <w:spacing w:line="288" w:lineRule="auto"/>
        <w:jc w:val="both"/>
        <w:rPr>
          <w:lang w:val="en-GB"/>
        </w:rPr>
      </w:pPr>
    </w:p>
    <w:p w14:paraId="09A7C94D" w14:textId="77777777" w:rsidR="003C2177" w:rsidRPr="004D6B7D" w:rsidRDefault="003C2177" w:rsidP="003C2177">
      <w:pPr>
        <w:spacing w:line="288" w:lineRule="auto"/>
        <w:jc w:val="both"/>
        <w:rPr>
          <w:lang w:val="en-GB"/>
        </w:rPr>
      </w:pPr>
    </w:p>
    <w:p w14:paraId="784CB9BD" w14:textId="77777777" w:rsidR="003C2177" w:rsidRPr="004D6B7D" w:rsidRDefault="003C2177" w:rsidP="003C2177">
      <w:pPr>
        <w:spacing w:line="288" w:lineRule="auto"/>
        <w:jc w:val="both"/>
        <w:rPr>
          <w:lang w:val="en-GB"/>
        </w:rPr>
      </w:pPr>
    </w:p>
    <w:p w14:paraId="38E4956A" w14:textId="77777777" w:rsidR="003C2177" w:rsidRPr="004D6B7D" w:rsidRDefault="003C2177" w:rsidP="003C2177">
      <w:pPr>
        <w:spacing w:line="288" w:lineRule="auto"/>
        <w:jc w:val="both"/>
        <w:rPr>
          <w:lang w:val="en-GB"/>
        </w:rPr>
      </w:pPr>
    </w:p>
    <w:sectPr w:rsidR="003C2177" w:rsidRPr="004D6B7D" w:rsidSect="001870F3">
      <w:headerReference w:type="default" r:id="rId8"/>
      <w:footerReference w:type="even" r:id="rId9"/>
      <w:footerReference w:type="default" r:id="rId10"/>
      <w:pgSz w:w="1190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15C65" w14:textId="77777777" w:rsidR="00423B45" w:rsidRDefault="00423B45" w:rsidP="00A13B14">
      <w:r>
        <w:separator/>
      </w:r>
    </w:p>
  </w:endnote>
  <w:endnote w:type="continuationSeparator" w:id="0">
    <w:p w14:paraId="51833D76" w14:textId="77777777" w:rsidR="00423B45" w:rsidRDefault="00423B45" w:rsidP="00A1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2095179"/>
      <w:docPartObj>
        <w:docPartGallery w:val="Page Numbers (Bottom of Page)"/>
        <w:docPartUnique/>
      </w:docPartObj>
    </w:sdtPr>
    <w:sdtContent>
      <w:p w14:paraId="7D24ED3B" w14:textId="05F0063E" w:rsidR="00A13B14" w:rsidRDefault="00A13B14" w:rsidP="00EE1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EBEE62" w14:textId="77777777" w:rsidR="00A13B14" w:rsidRDefault="00A13B14" w:rsidP="00A13B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130"/>
      <w:docPartObj>
        <w:docPartGallery w:val="Page Numbers (Bottom of Page)"/>
        <w:docPartUnique/>
      </w:docPartObj>
    </w:sdtPr>
    <w:sdtEndPr>
      <w:rPr>
        <w:noProof/>
      </w:rPr>
    </w:sdtEndPr>
    <w:sdtContent>
      <w:p w14:paraId="06B73A2F" w14:textId="149C06F3" w:rsidR="00077FAF" w:rsidRDefault="00077FAF">
        <w:pPr>
          <w:pStyle w:val="Footer"/>
          <w:jc w:val="right"/>
        </w:pPr>
        <w:r w:rsidRPr="0098331C">
          <w:rPr>
            <w:noProof/>
          </w:rPr>
          <mc:AlternateContent>
            <mc:Choice Requires="wpg">
              <w:drawing>
                <wp:anchor distT="0" distB="0" distL="0" distR="0" simplePos="0" relativeHeight="251659264" behindDoc="0" locked="0" layoutInCell="1" allowOverlap="1" wp14:anchorId="5EC45D8E" wp14:editId="4BCB1A1C">
                  <wp:simplePos x="0" y="0"/>
                  <wp:positionH relativeFrom="page">
                    <wp:align>right</wp:align>
                  </wp:positionH>
                  <wp:positionV relativeFrom="page">
                    <wp:posOffset>9991725</wp:posOffset>
                  </wp:positionV>
                  <wp:extent cx="75533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0F5A6708" id="Group 1" o:spid="_x0000_s1026" style="position:absolute;margin-left:543.55pt;margin-top:786.75pt;width:594.75pt;height:61.35pt;z-index:251659264;mso-wrap-distance-left:0;mso-wrap-distance-right:0;mso-position-horizontal:right;mso-position-horizontal-relative:page;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OZC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9FB9" w14:textId="77777777" w:rsidR="00423B45" w:rsidRDefault="00423B45" w:rsidP="00A13B14">
      <w:r>
        <w:separator/>
      </w:r>
    </w:p>
  </w:footnote>
  <w:footnote w:type="continuationSeparator" w:id="0">
    <w:p w14:paraId="1392E338" w14:textId="77777777" w:rsidR="00423B45" w:rsidRDefault="00423B45" w:rsidP="00A1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9CED" w14:textId="35A01578" w:rsidR="00A65C6C" w:rsidRDefault="00A65C6C">
    <w:pPr>
      <w:pStyle w:val="Header"/>
    </w:pPr>
    <w:r w:rsidRPr="0098331C">
      <w:rPr>
        <w:rFonts w:ascii="Times New Roman"/>
        <w:noProof/>
        <w:sz w:val="20"/>
      </w:rPr>
      <w:drawing>
        <wp:inline distT="0" distB="0" distL="0" distR="0" wp14:anchorId="4958583A" wp14:editId="5D3D8EE5">
          <wp:extent cx="810702" cy="5572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0702" cy="557212"/>
                  </a:xfrm>
                  <a:prstGeom prst="rect">
                    <a:avLst/>
                  </a:prstGeom>
                </pic:spPr>
              </pic:pic>
            </a:graphicData>
          </a:graphic>
        </wp:inline>
      </w:drawing>
    </w:r>
  </w:p>
  <w:p w14:paraId="6289139E" w14:textId="77777777" w:rsidR="00A65C6C" w:rsidRDefault="00A65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2C27"/>
    <w:multiLevelType w:val="hybridMultilevel"/>
    <w:tmpl w:val="5ED2F4FA"/>
    <w:lvl w:ilvl="0" w:tplc="AE3011A2">
      <w:start w:val="1"/>
      <w:numFmt w:val="decimal"/>
      <w:lvlText w:val="%1."/>
      <w:lvlJc w:val="left"/>
      <w:pPr>
        <w:ind w:left="360" w:hanging="360"/>
      </w:pPr>
      <w:rPr>
        <w:b w:val="0"/>
        <w:bCs w:val="0"/>
        <w:i w:val="0"/>
        <w:iCs w:val="0"/>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 w15:restartNumberingAfterBreak="0">
    <w:nsid w:val="48837CB9"/>
    <w:multiLevelType w:val="hybridMultilevel"/>
    <w:tmpl w:val="3B28F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282982">
    <w:abstractNumId w:val="1"/>
  </w:num>
  <w:num w:numId="2" w16cid:durableId="1436095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55"/>
    <w:rsid w:val="00012D7C"/>
    <w:rsid w:val="00013549"/>
    <w:rsid w:val="000357F3"/>
    <w:rsid w:val="00042B4D"/>
    <w:rsid w:val="00043CA5"/>
    <w:rsid w:val="0006200C"/>
    <w:rsid w:val="00072EE8"/>
    <w:rsid w:val="00077FAF"/>
    <w:rsid w:val="000D7668"/>
    <w:rsid w:val="000E3F75"/>
    <w:rsid w:val="00134CB3"/>
    <w:rsid w:val="00142F24"/>
    <w:rsid w:val="001732D8"/>
    <w:rsid w:val="00185132"/>
    <w:rsid w:val="001870F3"/>
    <w:rsid w:val="001A13D5"/>
    <w:rsid w:val="001A6CAD"/>
    <w:rsid w:val="001F6DDB"/>
    <w:rsid w:val="00225673"/>
    <w:rsid w:val="00247861"/>
    <w:rsid w:val="00290B92"/>
    <w:rsid w:val="002A1995"/>
    <w:rsid w:val="002D1841"/>
    <w:rsid w:val="003C2177"/>
    <w:rsid w:val="00401E36"/>
    <w:rsid w:val="00423B45"/>
    <w:rsid w:val="00441B02"/>
    <w:rsid w:val="00445409"/>
    <w:rsid w:val="004D3A66"/>
    <w:rsid w:val="004D6B7D"/>
    <w:rsid w:val="004E10A9"/>
    <w:rsid w:val="004F43A6"/>
    <w:rsid w:val="00522293"/>
    <w:rsid w:val="005312A2"/>
    <w:rsid w:val="0053729B"/>
    <w:rsid w:val="0054601E"/>
    <w:rsid w:val="0058049C"/>
    <w:rsid w:val="005B5FC4"/>
    <w:rsid w:val="00640A63"/>
    <w:rsid w:val="006569E3"/>
    <w:rsid w:val="006B3C5B"/>
    <w:rsid w:val="006C14C3"/>
    <w:rsid w:val="006C2F4A"/>
    <w:rsid w:val="00713E0E"/>
    <w:rsid w:val="007643A7"/>
    <w:rsid w:val="007712E8"/>
    <w:rsid w:val="00780608"/>
    <w:rsid w:val="007D793E"/>
    <w:rsid w:val="00812624"/>
    <w:rsid w:val="00820FA6"/>
    <w:rsid w:val="008A788B"/>
    <w:rsid w:val="008B6C93"/>
    <w:rsid w:val="00926FB1"/>
    <w:rsid w:val="00956341"/>
    <w:rsid w:val="0096511E"/>
    <w:rsid w:val="00971F7B"/>
    <w:rsid w:val="009807A3"/>
    <w:rsid w:val="0098331C"/>
    <w:rsid w:val="009C7820"/>
    <w:rsid w:val="00A01EAD"/>
    <w:rsid w:val="00A13B14"/>
    <w:rsid w:val="00A27D27"/>
    <w:rsid w:val="00A53B23"/>
    <w:rsid w:val="00A65C6C"/>
    <w:rsid w:val="00AB1271"/>
    <w:rsid w:val="00AC6840"/>
    <w:rsid w:val="00AF1C61"/>
    <w:rsid w:val="00B10C9A"/>
    <w:rsid w:val="00B21AF0"/>
    <w:rsid w:val="00C10C44"/>
    <w:rsid w:val="00C14BA2"/>
    <w:rsid w:val="00C22557"/>
    <w:rsid w:val="00C77147"/>
    <w:rsid w:val="00C81FC2"/>
    <w:rsid w:val="00CE01B0"/>
    <w:rsid w:val="00CE34EC"/>
    <w:rsid w:val="00D35DB2"/>
    <w:rsid w:val="00DC2A44"/>
    <w:rsid w:val="00DD07E6"/>
    <w:rsid w:val="00E12587"/>
    <w:rsid w:val="00E23F9B"/>
    <w:rsid w:val="00E342D1"/>
    <w:rsid w:val="00E41945"/>
    <w:rsid w:val="00E730D8"/>
    <w:rsid w:val="00E76218"/>
    <w:rsid w:val="00E764D3"/>
    <w:rsid w:val="00EF299E"/>
    <w:rsid w:val="00F379E0"/>
    <w:rsid w:val="00F509A6"/>
    <w:rsid w:val="00F5416B"/>
    <w:rsid w:val="00F662DF"/>
    <w:rsid w:val="00F82315"/>
    <w:rsid w:val="00F9602C"/>
    <w:rsid w:val="00FC2255"/>
    <w:rsid w:val="00FF2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4753"/>
  <w15:docId w15:val="{BCF4AA98-8D35-D747-9342-6869D3A5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0"/>
    </w:pPr>
    <w:rPr>
      <w:sz w:val="24"/>
      <w:szCs w:val="24"/>
    </w:rPr>
  </w:style>
  <w:style w:type="paragraph" w:styleId="Title">
    <w:name w:val="Title"/>
    <w:basedOn w:val="Normal"/>
    <w:uiPriority w:val="10"/>
    <w:qFormat/>
    <w:pPr>
      <w:spacing w:before="343"/>
      <w:ind w:left="570"/>
    </w:pPr>
    <w:rPr>
      <w:rFonts w:ascii="Trebuchet MS" w:eastAsia="Trebuchet MS" w:hAnsi="Trebuchet MS" w:cs="Trebuchet MS"/>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3B14"/>
    <w:pPr>
      <w:tabs>
        <w:tab w:val="center" w:pos="4513"/>
        <w:tab w:val="right" w:pos="9026"/>
      </w:tabs>
    </w:pPr>
  </w:style>
  <w:style w:type="character" w:customStyle="1" w:styleId="FooterChar">
    <w:name w:val="Footer Char"/>
    <w:basedOn w:val="DefaultParagraphFont"/>
    <w:link w:val="Footer"/>
    <w:uiPriority w:val="99"/>
    <w:rsid w:val="00A13B14"/>
    <w:rPr>
      <w:rFonts w:ascii="Arial" w:eastAsia="Arial" w:hAnsi="Arial" w:cs="Arial"/>
    </w:rPr>
  </w:style>
  <w:style w:type="character" w:styleId="PageNumber">
    <w:name w:val="page number"/>
    <w:basedOn w:val="DefaultParagraphFont"/>
    <w:uiPriority w:val="99"/>
    <w:semiHidden/>
    <w:unhideWhenUsed/>
    <w:rsid w:val="00A13B14"/>
  </w:style>
  <w:style w:type="paragraph" w:styleId="Header">
    <w:name w:val="header"/>
    <w:basedOn w:val="Normal"/>
    <w:link w:val="HeaderChar"/>
    <w:uiPriority w:val="99"/>
    <w:unhideWhenUsed/>
    <w:rsid w:val="00077FAF"/>
    <w:pPr>
      <w:tabs>
        <w:tab w:val="center" w:pos="4513"/>
        <w:tab w:val="right" w:pos="9026"/>
      </w:tabs>
    </w:pPr>
  </w:style>
  <w:style w:type="character" w:customStyle="1" w:styleId="HeaderChar">
    <w:name w:val="Header Char"/>
    <w:basedOn w:val="DefaultParagraphFont"/>
    <w:link w:val="Header"/>
    <w:uiPriority w:val="99"/>
    <w:rsid w:val="00077FA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3ABDF-F314-4109-9ED0-684413505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2973</Words>
  <Characters>16951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DRAFT Consultation response</vt:lpstr>
    </vt:vector>
  </TitlesOfParts>
  <Company/>
  <LinksUpToDate>false</LinksUpToDate>
  <CharactersWithSpaces>19885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response</dc:title>
  <dc:creator>Rail Freight Group</dc:creator>
  <cp:keywords>DAFj0wUkxcg,BAFZmWwhmN4</cp:keywords>
  <cp:lastModifiedBy>James Falkner</cp:lastModifiedBy>
  <cp:revision>5</cp:revision>
  <cp:lastPrinted>2026-01-29T10:19:00Z</cp:lastPrinted>
  <dcterms:created xsi:type="dcterms:W3CDTF">2026-01-31T08:54:00Z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3-Heights(TM) PDF Security Shell 4.8.25.2 (http://www.pdf-tools.com)</vt:lpwstr>
  </property>
</Properties>
</file>