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6271" w14:textId="2E27E378" w:rsidR="00FC2255" w:rsidRPr="00550C1F" w:rsidRDefault="00FC2255" w:rsidP="003C2177">
      <w:pPr>
        <w:pStyle w:val="BodyText"/>
        <w:spacing w:line="288" w:lineRule="auto"/>
        <w:ind w:left="118"/>
        <w:rPr>
          <w:sz w:val="20"/>
          <w:lang w:val="en-GB"/>
        </w:rPr>
      </w:pPr>
    </w:p>
    <w:p w14:paraId="767DB2E7" w14:textId="046706EE" w:rsidR="003C2177" w:rsidRPr="00550C1F" w:rsidRDefault="0032446B" w:rsidP="00043CA5">
      <w:pPr>
        <w:pStyle w:val="Title"/>
        <w:spacing w:before="0" w:line="288" w:lineRule="auto"/>
        <w:ind w:left="425" w:hanging="425"/>
        <w:rPr>
          <w:rFonts w:ascii="Arial" w:hAnsi="Arial" w:cs="Arial"/>
          <w:sz w:val="32"/>
          <w:szCs w:val="32"/>
          <w:lang w:val="en-GB"/>
        </w:rPr>
      </w:pPr>
      <w:r w:rsidRPr="00550C1F">
        <w:rPr>
          <w:rFonts w:ascii="Arial" w:hAnsi="Arial" w:cs="Arial"/>
          <w:sz w:val="32"/>
          <w:szCs w:val="32"/>
          <w:lang w:val="en-GB"/>
        </w:rPr>
        <w:t>ORR GBR Licence</w:t>
      </w:r>
    </w:p>
    <w:p w14:paraId="55EBBD0D" w14:textId="77777777" w:rsidR="003C2177" w:rsidRPr="00550C1F" w:rsidRDefault="003C2177" w:rsidP="003C2177">
      <w:pPr>
        <w:pStyle w:val="Title"/>
        <w:spacing w:before="0" w:line="288" w:lineRule="auto"/>
        <w:ind w:left="573"/>
        <w:rPr>
          <w:rFonts w:ascii="Arial" w:hAnsi="Arial" w:cs="Arial"/>
          <w:sz w:val="24"/>
          <w:szCs w:val="24"/>
          <w:lang w:val="en-GB"/>
        </w:rPr>
      </w:pPr>
    </w:p>
    <w:p w14:paraId="58B3725D" w14:textId="2786B941" w:rsidR="00FC2255" w:rsidRPr="00550C1F" w:rsidRDefault="006E57DA" w:rsidP="00043CA5">
      <w:pPr>
        <w:pStyle w:val="Title"/>
        <w:spacing w:before="0" w:line="288" w:lineRule="auto"/>
        <w:ind w:left="431" w:hanging="431"/>
        <w:rPr>
          <w:rFonts w:ascii="Arial" w:hAnsi="Arial" w:cs="Arial"/>
          <w:sz w:val="22"/>
          <w:szCs w:val="22"/>
          <w:lang w:val="en-GB"/>
        </w:rPr>
      </w:pPr>
      <w:r w:rsidRPr="00550C1F">
        <w:rPr>
          <w:rFonts w:ascii="Arial" w:hAnsi="Arial" w:cs="Arial"/>
          <w:sz w:val="22"/>
          <w:szCs w:val="22"/>
          <w:lang w:val="en-GB"/>
        </w:rPr>
        <w:t>Response from Rail Freight Group (RFG)</w:t>
      </w:r>
    </w:p>
    <w:p w14:paraId="4174D348" w14:textId="6F17C096" w:rsidR="003C2177" w:rsidRPr="00550C1F" w:rsidRDefault="00B91709" w:rsidP="00043CA5">
      <w:pPr>
        <w:spacing w:line="288" w:lineRule="auto"/>
        <w:ind w:left="431" w:hanging="431"/>
        <w:rPr>
          <w:lang w:val="en-GB"/>
        </w:rPr>
      </w:pPr>
      <w:r>
        <w:rPr>
          <w:lang w:val="en-GB"/>
        </w:rPr>
        <w:t>3 September 2026</w:t>
      </w:r>
    </w:p>
    <w:p w14:paraId="77373725" w14:textId="77777777" w:rsidR="00FC2255" w:rsidRPr="00550C1F" w:rsidRDefault="00FC2255" w:rsidP="003C2177">
      <w:pPr>
        <w:pStyle w:val="BodyText"/>
        <w:spacing w:before="87" w:line="288" w:lineRule="auto"/>
        <w:ind w:left="0"/>
        <w:rPr>
          <w:sz w:val="22"/>
          <w:szCs w:val="22"/>
          <w:lang w:val="en-GB"/>
        </w:rPr>
      </w:pPr>
    </w:p>
    <w:p w14:paraId="23B45062" w14:textId="37CC0350" w:rsidR="000D7668" w:rsidRPr="00550C1F" w:rsidRDefault="000D7668" w:rsidP="00043CA5">
      <w:pPr>
        <w:pStyle w:val="BodyText"/>
        <w:spacing w:before="87" w:line="288" w:lineRule="auto"/>
        <w:ind w:left="0"/>
        <w:rPr>
          <w:b/>
          <w:bCs/>
          <w:i/>
          <w:iCs/>
          <w:sz w:val="22"/>
          <w:szCs w:val="22"/>
          <w:lang w:val="en-GB"/>
        </w:rPr>
      </w:pPr>
      <w:r w:rsidRPr="00550C1F">
        <w:rPr>
          <w:b/>
          <w:bCs/>
          <w:i/>
          <w:iCs/>
          <w:sz w:val="22"/>
          <w:szCs w:val="22"/>
          <w:lang w:val="en-GB"/>
        </w:rPr>
        <w:t>Introduction</w:t>
      </w:r>
    </w:p>
    <w:p w14:paraId="1C4B6CB9" w14:textId="59BA24A0" w:rsidR="00FC2255" w:rsidRPr="00550C1F" w:rsidRDefault="003C2177" w:rsidP="00043CA5">
      <w:pPr>
        <w:pStyle w:val="BodyText"/>
        <w:numPr>
          <w:ilvl w:val="0"/>
          <w:numId w:val="2"/>
        </w:numPr>
        <w:spacing w:line="288" w:lineRule="auto"/>
        <w:ind w:left="357" w:hanging="357"/>
        <w:rPr>
          <w:sz w:val="22"/>
          <w:szCs w:val="22"/>
          <w:lang w:val="en-GB"/>
        </w:rPr>
      </w:pPr>
      <w:r w:rsidRPr="00550C1F">
        <w:rPr>
          <w:sz w:val="22"/>
          <w:szCs w:val="22"/>
          <w:lang w:val="en-GB"/>
        </w:rPr>
        <w:t xml:space="preserve">Rail Freight Group is pleased to respond to the </w:t>
      </w:r>
      <w:r w:rsidR="0032446B" w:rsidRPr="00550C1F">
        <w:rPr>
          <w:sz w:val="22"/>
          <w:szCs w:val="22"/>
          <w:lang w:val="en-GB"/>
        </w:rPr>
        <w:t>ORR</w:t>
      </w:r>
      <w:r w:rsidR="0008475A" w:rsidRPr="00550C1F">
        <w:rPr>
          <w:sz w:val="22"/>
          <w:szCs w:val="22"/>
          <w:lang w:val="en-GB"/>
        </w:rPr>
        <w:t>.</w:t>
      </w:r>
      <w:r w:rsidR="00247861" w:rsidRPr="00550C1F">
        <w:rPr>
          <w:sz w:val="22"/>
          <w:szCs w:val="22"/>
          <w:lang w:val="en-GB"/>
        </w:rPr>
        <w:t xml:space="preserve"> This response is not confidential.</w:t>
      </w:r>
    </w:p>
    <w:p w14:paraId="4A32D902" w14:textId="53679A12" w:rsidR="00FC2255" w:rsidRPr="00550C1F" w:rsidRDefault="006E57DA" w:rsidP="00043CA5">
      <w:pPr>
        <w:pStyle w:val="BodyText"/>
        <w:numPr>
          <w:ilvl w:val="0"/>
          <w:numId w:val="2"/>
        </w:numPr>
        <w:spacing w:before="251" w:line="288" w:lineRule="auto"/>
        <w:ind w:left="357" w:hanging="357"/>
        <w:rPr>
          <w:sz w:val="22"/>
          <w:szCs w:val="22"/>
          <w:lang w:val="en-GB"/>
        </w:rPr>
      </w:pPr>
      <w:bookmarkStart w:id="0" w:name="_Hlk160010122"/>
      <w:r w:rsidRPr="00550C1F">
        <w:rPr>
          <w:sz w:val="22"/>
          <w:szCs w:val="22"/>
          <w:lang w:val="en-GB"/>
        </w:rPr>
        <w:t>RFG is the representative body for rail freight in the UK, and we campaign for a greater use of rail freight to deliver environmental and economic benefits for the UK. We have over 1</w:t>
      </w:r>
      <w:r w:rsidR="00247861" w:rsidRPr="00550C1F">
        <w:rPr>
          <w:sz w:val="22"/>
          <w:szCs w:val="22"/>
          <w:lang w:val="en-GB"/>
        </w:rPr>
        <w:t>3</w:t>
      </w:r>
      <w:r w:rsidRPr="00550C1F">
        <w:rPr>
          <w:sz w:val="22"/>
          <w:szCs w:val="22"/>
          <w:lang w:val="en-GB"/>
        </w:rPr>
        <w:t>0 member companies including train operators, end customers,</w:t>
      </w:r>
      <w:r w:rsidR="00247861" w:rsidRPr="00550C1F">
        <w:rPr>
          <w:sz w:val="22"/>
          <w:szCs w:val="22"/>
          <w:lang w:val="en-GB"/>
        </w:rPr>
        <w:t xml:space="preserve"> </w:t>
      </w:r>
      <w:r w:rsidRPr="00550C1F">
        <w:rPr>
          <w:sz w:val="22"/>
          <w:szCs w:val="22"/>
          <w:lang w:val="en-GB"/>
        </w:rPr>
        <w:t>ports and terminal operators, suppliers including locomotive and wagon companies and support services.</w:t>
      </w:r>
      <w:r w:rsidR="00247861" w:rsidRPr="00550C1F">
        <w:rPr>
          <w:sz w:val="22"/>
          <w:szCs w:val="22"/>
          <w:lang w:val="en-GB"/>
        </w:rPr>
        <w:t xml:space="preserve"> </w:t>
      </w:r>
      <w:bookmarkEnd w:id="0"/>
    </w:p>
    <w:p w14:paraId="1BBC115F" w14:textId="2423D37D" w:rsidR="00FC2255" w:rsidRPr="00550C1F" w:rsidRDefault="000D7668" w:rsidP="00043CA5">
      <w:pPr>
        <w:pStyle w:val="BodyText"/>
        <w:spacing w:before="16" w:line="288" w:lineRule="auto"/>
        <w:ind w:left="0"/>
        <w:rPr>
          <w:b/>
          <w:bCs/>
          <w:i/>
          <w:iCs/>
          <w:sz w:val="22"/>
          <w:szCs w:val="22"/>
          <w:lang w:val="en-GB"/>
        </w:rPr>
      </w:pPr>
      <w:r w:rsidRPr="00550C1F">
        <w:rPr>
          <w:sz w:val="22"/>
          <w:szCs w:val="22"/>
          <w:lang w:val="en-GB"/>
        </w:rPr>
        <w:br/>
      </w:r>
      <w:r w:rsidR="0008475A" w:rsidRPr="00550C1F">
        <w:rPr>
          <w:b/>
          <w:bCs/>
          <w:i/>
          <w:iCs/>
          <w:sz w:val="22"/>
          <w:szCs w:val="22"/>
          <w:lang w:val="en-GB"/>
        </w:rPr>
        <w:t>General Comments</w:t>
      </w:r>
    </w:p>
    <w:p w14:paraId="5A954234" w14:textId="3B34E658" w:rsidR="00A13B14" w:rsidRPr="00550C1F" w:rsidRDefault="004A0A64" w:rsidP="004A0A64">
      <w:pPr>
        <w:pStyle w:val="ListParagraph"/>
        <w:numPr>
          <w:ilvl w:val="0"/>
          <w:numId w:val="2"/>
        </w:numPr>
        <w:spacing w:line="288" w:lineRule="auto"/>
        <w:ind w:left="357" w:hanging="357"/>
        <w:rPr>
          <w:lang w:val="en-GB"/>
        </w:rPr>
      </w:pPr>
      <w:r w:rsidRPr="00550C1F">
        <w:rPr>
          <w:lang w:val="en-GB"/>
        </w:rPr>
        <w:t>As the new GBR licence comes into effect, we note that non-GBR licences will be modified in response. While we recognise that some changes are inevitable, changes to the non-GBR licences must be kept to a minimum to avoid unintended negative impacts on the rail freight industry, and to help manage the overall workload and risk transferred onto freight.</w:t>
      </w:r>
      <w:r w:rsidR="00AF1C61" w:rsidRPr="00550C1F">
        <w:rPr>
          <w:lang w:val="en-GB"/>
        </w:rPr>
        <w:br/>
      </w:r>
    </w:p>
    <w:p w14:paraId="2D5CAD44" w14:textId="313330FD" w:rsidR="00AF1C61" w:rsidRPr="00550C1F" w:rsidRDefault="00AF1C61" w:rsidP="00043CA5">
      <w:pPr>
        <w:widowControl/>
        <w:autoSpaceDE/>
        <w:autoSpaceDN/>
        <w:spacing w:line="288" w:lineRule="auto"/>
        <w:contextualSpacing/>
        <w:rPr>
          <w:lang w:val="en-GB"/>
        </w:rPr>
      </w:pPr>
      <w:r w:rsidRPr="00550C1F">
        <w:rPr>
          <w:b/>
          <w:bCs/>
          <w:i/>
          <w:iCs/>
          <w:lang w:val="en-GB"/>
        </w:rPr>
        <w:t xml:space="preserve">Specific Comments </w:t>
      </w:r>
      <w:r w:rsidRPr="00550C1F">
        <w:rPr>
          <w:lang w:val="en-GB"/>
        </w:rPr>
        <w:br/>
      </w:r>
    </w:p>
    <w:p w14:paraId="02218BCF" w14:textId="77777777" w:rsidR="004A0A64" w:rsidRPr="00550C1F" w:rsidRDefault="0008475A" w:rsidP="004A0A64">
      <w:pPr>
        <w:pStyle w:val="ListParagraph"/>
        <w:widowControl/>
        <w:numPr>
          <w:ilvl w:val="0"/>
          <w:numId w:val="2"/>
        </w:numPr>
        <w:autoSpaceDE/>
        <w:autoSpaceDN/>
        <w:spacing w:line="288" w:lineRule="auto"/>
        <w:ind w:left="357" w:hanging="357"/>
        <w:contextualSpacing/>
        <w:rPr>
          <w:b/>
          <w:bCs/>
          <w:lang w:val="en-GB"/>
        </w:rPr>
      </w:pPr>
      <w:r w:rsidRPr="00550C1F">
        <w:rPr>
          <w:b/>
          <w:bCs/>
          <w:lang w:val="en-GB"/>
        </w:rPr>
        <w:t>Q1: Do you have any comments on ORR’s proposed objectives in approaching modifications to non</w:t>
      </w:r>
      <w:r w:rsidRPr="00550C1F">
        <w:rPr>
          <w:b/>
          <w:bCs/>
          <w:lang w:val="en-GB"/>
        </w:rPr>
        <w:noBreakHyphen/>
        <w:t>GBR licences?</w:t>
      </w:r>
      <w:r w:rsidR="004A0A64" w:rsidRPr="00550C1F">
        <w:rPr>
          <w:b/>
          <w:bCs/>
          <w:lang w:val="en-GB"/>
        </w:rPr>
        <w:br/>
      </w:r>
    </w:p>
    <w:p w14:paraId="414C381C" w14:textId="5E1F5C75" w:rsidR="0008475A" w:rsidRPr="00550C1F" w:rsidRDefault="004A0A64" w:rsidP="004A0A64">
      <w:pPr>
        <w:pStyle w:val="ListParagraph"/>
        <w:widowControl/>
        <w:numPr>
          <w:ilvl w:val="0"/>
          <w:numId w:val="2"/>
        </w:numPr>
        <w:autoSpaceDE/>
        <w:autoSpaceDN/>
        <w:spacing w:line="288" w:lineRule="auto"/>
        <w:ind w:left="357" w:hanging="357"/>
        <w:contextualSpacing/>
        <w:rPr>
          <w:b/>
          <w:bCs/>
          <w:lang w:val="en-GB"/>
        </w:rPr>
      </w:pPr>
      <w:r w:rsidRPr="00550C1F">
        <w:rPr>
          <w:lang w:val="en-GB"/>
        </w:rPr>
        <w:t>ORR’s proposed objectives in approaching modifications to non</w:t>
      </w:r>
      <w:r w:rsidRPr="00550C1F">
        <w:rPr>
          <w:lang w:val="en-GB"/>
        </w:rPr>
        <w:noBreakHyphen/>
        <w:t>GBR licences appear appropriate. We support a framework that encourages accountability, high service standards, maintenance of existing obligations that will remain relevant, and fairness when disparities arise.</w:t>
      </w:r>
      <w:r w:rsidR="0008475A" w:rsidRPr="00550C1F">
        <w:rPr>
          <w:lang w:val="en-GB"/>
        </w:rPr>
        <w:br/>
      </w:r>
    </w:p>
    <w:p w14:paraId="00CA669A" w14:textId="77777777" w:rsidR="004A0A64" w:rsidRPr="00550C1F" w:rsidRDefault="0008475A" w:rsidP="004A0A64">
      <w:pPr>
        <w:pStyle w:val="ListParagraph"/>
        <w:widowControl/>
        <w:numPr>
          <w:ilvl w:val="0"/>
          <w:numId w:val="2"/>
        </w:numPr>
        <w:autoSpaceDE/>
        <w:autoSpaceDN/>
        <w:spacing w:line="288" w:lineRule="auto"/>
        <w:ind w:left="357" w:hanging="357"/>
        <w:contextualSpacing/>
        <w:rPr>
          <w:b/>
          <w:bCs/>
          <w:lang w:val="en-GB"/>
        </w:rPr>
      </w:pPr>
      <w:r w:rsidRPr="00550C1F">
        <w:rPr>
          <w:b/>
          <w:bCs/>
          <w:lang w:val="en-GB"/>
        </w:rPr>
        <w:t>Q2: Do you have any views on our proposed principles and approach to licence modifications?</w:t>
      </w:r>
      <w:r w:rsidR="004A0A64" w:rsidRPr="00550C1F">
        <w:rPr>
          <w:b/>
          <w:bCs/>
          <w:lang w:val="en-GB"/>
        </w:rPr>
        <w:br/>
      </w:r>
    </w:p>
    <w:p w14:paraId="68909F08" w14:textId="431E4337" w:rsidR="0008475A" w:rsidRPr="00550C1F" w:rsidRDefault="004A0A64" w:rsidP="005872CF">
      <w:pPr>
        <w:pStyle w:val="ListParagraph"/>
        <w:widowControl/>
        <w:numPr>
          <w:ilvl w:val="0"/>
          <w:numId w:val="2"/>
        </w:numPr>
        <w:autoSpaceDE/>
        <w:autoSpaceDN/>
        <w:spacing w:line="288" w:lineRule="auto"/>
        <w:ind w:left="357" w:hanging="357"/>
        <w:contextualSpacing/>
        <w:rPr>
          <w:b/>
          <w:bCs/>
          <w:lang w:val="en-GB"/>
        </w:rPr>
      </w:pPr>
      <w:r w:rsidRPr="00550C1F">
        <w:rPr>
          <w:lang w:val="en-GB"/>
        </w:rPr>
        <w:t xml:space="preserve">The proposed principles and approach to licence modifications appear appropriate. We agree that GBR licences and non-licences may not always be consistent when the administrative caseload outweighs the benefits of complete alignment. </w:t>
      </w:r>
      <w:r w:rsidR="0008475A" w:rsidRPr="00550C1F">
        <w:rPr>
          <w:b/>
          <w:bCs/>
          <w:lang w:val="en-GB"/>
        </w:rPr>
        <w:br/>
      </w:r>
    </w:p>
    <w:p w14:paraId="30BCB0E8" w14:textId="77777777" w:rsidR="005872CF" w:rsidRPr="00550C1F" w:rsidRDefault="0008475A" w:rsidP="005872CF">
      <w:pPr>
        <w:pStyle w:val="ListParagraph"/>
        <w:widowControl/>
        <w:numPr>
          <w:ilvl w:val="0"/>
          <w:numId w:val="2"/>
        </w:numPr>
        <w:autoSpaceDE/>
        <w:autoSpaceDN/>
        <w:spacing w:line="288" w:lineRule="auto"/>
        <w:ind w:left="357" w:hanging="357"/>
        <w:contextualSpacing/>
        <w:rPr>
          <w:b/>
          <w:bCs/>
          <w:lang w:val="en-GB"/>
        </w:rPr>
      </w:pPr>
      <w:r w:rsidRPr="00550C1F">
        <w:rPr>
          <w:b/>
          <w:bCs/>
          <w:lang w:val="en-GB"/>
        </w:rPr>
        <w:t>Q3: Do you have any feedback on ORR’s emerging thinking on the potential need or desirability of changes to non</w:t>
      </w:r>
      <w:r w:rsidRPr="00550C1F">
        <w:rPr>
          <w:b/>
          <w:bCs/>
          <w:lang w:val="en-GB"/>
        </w:rPr>
        <w:noBreakHyphen/>
        <w:t xml:space="preserve">GBR licences? </w:t>
      </w:r>
      <w:r w:rsidR="005872CF" w:rsidRPr="00550C1F">
        <w:rPr>
          <w:b/>
          <w:bCs/>
          <w:lang w:val="en-GB"/>
        </w:rPr>
        <w:br/>
      </w:r>
    </w:p>
    <w:p w14:paraId="4F167D0A" w14:textId="69A3FA1F" w:rsidR="0008475A" w:rsidRPr="00550C1F" w:rsidRDefault="005872CF" w:rsidP="005872CF">
      <w:pPr>
        <w:pStyle w:val="ListParagraph"/>
        <w:widowControl/>
        <w:numPr>
          <w:ilvl w:val="0"/>
          <w:numId w:val="2"/>
        </w:numPr>
        <w:autoSpaceDE/>
        <w:autoSpaceDN/>
        <w:spacing w:line="288" w:lineRule="auto"/>
        <w:ind w:left="357" w:hanging="357"/>
        <w:contextualSpacing/>
        <w:rPr>
          <w:b/>
          <w:bCs/>
          <w:lang w:val="en-GB"/>
        </w:rPr>
      </w:pPr>
      <w:r w:rsidRPr="00550C1F">
        <w:rPr>
          <w:lang w:val="en-GB"/>
        </w:rPr>
        <w:lastRenderedPageBreak/>
        <w:t>R</w:t>
      </w:r>
      <w:r w:rsidRPr="00550C1F">
        <w:rPr>
          <w:rFonts w:eastAsia="Times New Roman"/>
          <w:lang w:val="en-GB"/>
        </w:rPr>
        <w:t>FG supports removing the requirement for RDG membership in the GBR licence, as this is no longer relevant to freight operators.</w:t>
      </w:r>
      <w:r w:rsidR="0008475A" w:rsidRPr="00550C1F">
        <w:rPr>
          <w:b/>
          <w:bCs/>
          <w:lang w:val="en-GB"/>
        </w:rPr>
        <w:br/>
      </w:r>
    </w:p>
    <w:p w14:paraId="1F87B402" w14:textId="77777777" w:rsidR="005872CF" w:rsidRPr="00550C1F" w:rsidRDefault="0008475A" w:rsidP="005872CF">
      <w:pPr>
        <w:pStyle w:val="ListParagraph"/>
        <w:widowControl/>
        <w:numPr>
          <w:ilvl w:val="0"/>
          <w:numId w:val="2"/>
        </w:numPr>
        <w:autoSpaceDE/>
        <w:autoSpaceDN/>
        <w:spacing w:line="288" w:lineRule="auto"/>
        <w:ind w:left="357" w:hanging="357"/>
        <w:contextualSpacing/>
        <w:rPr>
          <w:b/>
          <w:bCs/>
          <w:lang w:val="en-GB"/>
        </w:rPr>
      </w:pPr>
      <w:r w:rsidRPr="00550C1F">
        <w:rPr>
          <w:b/>
          <w:bCs/>
          <w:lang w:val="en-GB"/>
        </w:rPr>
        <w:t xml:space="preserve">Q4: Are there specific areas where alignment with the GBR licence is particularly important or where divergence may be necessary or desirable? </w:t>
      </w:r>
      <w:r w:rsidR="005872CF" w:rsidRPr="00550C1F">
        <w:rPr>
          <w:b/>
          <w:bCs/>
          <w:lang w:val="en-GB"/>
        </w:rPr>
        <w:br/>
      </w:r>
    </w:p>
    <w:p w14:paraId="1C5F66C5" w14:textId="77AEB56A" w:rsidR="0008475A" w:rsidRPr="00550C1F" w:rsidRDefault="005872CF" w:rsidP="00043CA5">
      <w:pPr>
        <w:pStyle w:val="ListParagraph"/>
        <w:widowControl/>
        <w:numPr>
          <w:ilvl w:val="0"/>
          <w:numId w:val="2"/>
        </w:numPr>
        <w:autoSpaceDE/>
        <w:autoSpaceDN/>
        <w:spacing w:line="288" w:lineRule="auto"/>
        <w:ind w:left="357" w:hanging="357"/>
        <w:contextualSpacing/>
        <w:rPr>
          <w:b/>
          <w:bCs/>
          <w:lang w:val="en-GB"/>
        </w:rPr>
      </w:pPr>
      <w:r w:rsidRPr="00550C1F">
        <w:rPr>
          <w:rFonts w:eastAsia="Times New Roman"/>
          <w:lang w:val="en-GB"/>
        </w:rPr>
        <w:t>We note that ORR understand that the requirements over environmental matters, insurance against third party liability, RSSB membership, rail safety and standards, claims allocation and handling, emergency access and changes to schedules of depots and/or stations are likely to remain relevant in GBR and non-GBR licences. We support this, and consider it important that these clauses remain in both areas.  ORR should ensure continued alignment when the draft GBR licence is issued.</w:t>
      </w:r>
      <w:r w:rsidR="0008475A" w:rsidRPr="00550C1F">
        <w:rPr>
          <w:b/>
          <w:bCs/>
          <w:lang w:val="en-GB"/>
        </w:rPr>
        <w:br/>
      </w:r>
    </w:p>
    <w:p w14:paraId="184F429D" w14:textId="64A3CE7A" w:rsidR="0008475A" w:rsidRPr="00550C1F" w:rsidRDefault="005872CF" w:rsidP="00043CA5">
      <w:pPr>
        <w:pStyle w:val="ListParagraph"/>
        <w:widowControl/>
        <w:numPr>
          <w:ilvl w:val="0"/>
          <w:numId w:val="2"/>
        </w:numPr>
        <w:autoSpaceDE/>
        <w:autoSpaceDN/>
        <w:spacing w:line="288" w:lineRule="auto"/>
        <w:ind w:left="357" w:hanging="357"/>
        <w:contextualSpacing/>
        <w:rPr>
          <w:b/>
          <w:bCs/>
          <w:lang w:val="en-GB"/>
        </w:rPr>
      </w:pPr>
      <w:r w:rsidRPr="00550C1F">
        <w:rPr>
          <w:lang w:val="en-GB"/>
        </w:rPr>
        <w:t>We further note that ORR understand that some conditions will not be in the GBR licence</w:t>
      </w:r>
      <w:r w:rsidR="003019E6" w:rsidRPr="00550C1F">
        <w:rPr>
          <w:lang w:val="en-GB"/>
        </w:rPr>
        <w:t>,</w:t>
      </w:r>
      <w:r w:rsidRPr="00550C1F">
        <w:rPr>
          <w:lang w:val="en-GB"/>
        </w:rPr>
        <w:t xml:space="preserve"> including conditions on payment of fees, change of control, non-discrimination, co-operation with Transport </w:t>
      </w:r>
      <w:r w:rsidR="003019E6" w:rsidRPr="00550C1F">
        <w:rPr>
          <w:lang w:val="en-GB"/>
        </w:rPr>
        <w:t>for</w:t>
      </w:r>
      <w:r w:rsidRPr="00550C1F">
        <w:rPr>
          <w:lang w:val="en-GB"/>
        </w:rPr>
        <w:t xml:space="preserve"> London and station asset information.  Without seeing the draft GBR licence</w:t>
      </w:r>
      <w:r w:rsidR="003019E6" w:rsidRPr="00550C1F">
        <w:rPr>
          <w:lang w:val="en-GB"/>
        </w:rPr>
        <w:t>,</w:t>
      </w:r>
      <w:r w:rsidRPr="00550C1F">
        <w:rPr>
          <w:lang w:val="en-GB"/>
        </w:rPr>
        <w:t xml:space="preserve"> it is hard to understand the significance of this, but there are clear concerns over some of these areas.  With respect to the non-GBR licences</w:t>
      </w:r>
      <w:r w:rsidR="003019E6" w:rsidRPr="00550C1F">
        <w:rPr>
          <w:lang w:val="en-GB"/>
        </w:rPr>
        <w:t>,</w:t>
      </w:r>
      <w:r w:rsidRPr="00550C1F">
        <w:rPr>
          <w:lang w:val="en-GB"/>
        </w:rPr>
        <w:t xml:space="preserve"> we would expect the ORR to seek a consistent approach, for example matching the conditions on payments to avoid a more onerous requirement on freight than on GBR.</w:t>
      </w:r>
      <w:r w:rsidR="0008475A" w:rsidRPr="00550C1F">
        <w:rPr>
          <w:b/>
          <w:bCs/>
          <w:lang w:val="en-GB"/>
        </w:rPr>
        <w:br/>
      </w:r>
    </w:p>
    <w:p w14:paraId="3B24A526" w14:textId="77777777" w:rsidR="0008475A" w:rsidRPr="00550C1F" w:rsidRDefault="0008475A" w:rsidP="00043CA5">
      <w:pPr>
        <w:pStyle w:val="ListParagraph"/>
        <w:widowControl/>
        <w:numPr>
          <w:ilvl w:val="0"/>
          <w:numId w:val="2"/>
        </w:numPr>
        <w:autoSpaceDE/>
        <w:autoSpaceDN/>
        <w:spacing w:line="288" w:lineRule="auto"/>
        <w:ind w:left="357" w:hanging="357"/>
        <w:contextualSpacing/>
        <w:rPr>
          <w:b/>
          <w:bCs/>
          <w:lang w:val="en-GB"/>
        </w:rPr>
      </w:pPr>
      <w:r w:rsidRPr="00550C1F">
        <w:rPr>
          <w:b/>
          <w:bCs/>
          <w:lang w:val="en-GB"/>
        </w:rPr>
        <w:t>Q5: Do you have any other comments relevant to this discussion document?</w:t>
      </w:r>
      <w:r w:rsidRPr="00550C1F">
        <w:rPr>
          <w:b/>
          <w:bCs/>
          <w:lang w:val="en-GB"/>
        </w:rPr>
        <w:br/>
      </w:r>
    </w:p>
    <w:p w14:paraId="10CF520C" w14:textId="77777777" w:rsidR="00AF5F0E" w:rsidRPr="00550C1F" w:rsidRDefault="0008475A" w:rsidP="00043CA5">
      <w:pPr>
        <w:pStyle w:val="ListParagraph"/>
        <w:widowControl/>
        <w:numPr>
          <w:ilvl w:val="0"/>
          <w:numId w:val="2"/>
        </w:numPr>
        <w:autoSpaceDE/>
        <w:autoSpaceDN/>
        <w:spacing w:line="288" w:lineRule="auto"/>
        <w:ind w:left="357" w:hanging="357"/>
        <w:contextualSpacing/>
        <w:rPr>
          <w:b/>
          <w:bCs/>
          <w:i/>
          <w:iCs/>
          <w:lang w:val="en-GB"/>
        </w:rPr>
      </w:pPr>
      <w:r w:rsidRPr="00550C1F">
        <w:rPr>
          <w:b/>
          <w:bCs/>
          <w:i/>
          <w:iCs/>
          <w:lang w:val="en-GB"/>
        </w:rPr>
        <w:t>Comments on Annex A</w:t>
      </w:r>
      <w:r w:rsidR="00AF5F0E" w:rsidRPr="00550C1F">
        <w:rPr>
          <w:b/>
          <w:bCs/>
          <w:i/>
          <w:iCs/>
          <w:lang w:val="en-GB"/>
        </w:rPr>
        <w:br/>
      </w:r>
    </w:p>
    <w:p w14:paraId="14B2F423" w14:textId="6489E973" w:rsidR="00AF5F0E" w:rsidRPr="00550C1F" w:rsidRDefault="00AF5F0E" w:rsidP="00043CA5">
      <w:pPr>
        <w:pStyle w:val="ListParagraph"/>
        <w:widowControl/>
        <w:numPr>
          <w:ilvl w:val="0"/>
          <w:numId w:val="2"/>
        </w:numPr>
        <w:autoSpaceDE/>
        <w:autoSpaceDN/>
        <w:spacing w:line="288" w:lineRule="auto"/>
        <w:ind w:left="357" w:hanging="357"/>
        <w:contextualSpacing/>
        <w:rPr>
          <w:b/>
          <w:bCs/>
          <w:i/>
          <w:iCs/>
          <w:lang w:val="en-GB"/>
        </w:rPr>
      </w:pPr>
      <w:r w:rsidRPr="00550C1F">
        <w:rPr>
          <w:rFonts w:eastAsia="Times New Roman"/>
          <w:lang w:val="en-GB"/>
        </w:rPr>
        <w:t>We support the inclusion of the “Information for ORR” licence condition for GBR</w:t>
      </w:r>
      <w:r w:rsidR="003019E6" w:rsidRPr="00550C1F">
        <w:rPr>
          <w:rFonts w:eastAsia="Times New Roman"/>
          <w:lang w:val="en-GB"/>
        </w:rPr>
        <w:t>,</w:t>
      </w:r>
      <w:r w:rsidRPr="00550C1F">
        <w:rPr>
          <w:rFonts w:eastAsia="Times New Roman"/>
          <w:lang w:val="en-GB"/>
        </w:rPr>
        <w:t xml:space="preserve"> which will be necessary </w:t>
      </w:r>
      <w:r w:rsidR="003019E6" w:rsidRPr="00550C1F">
        <w:rPr>
          <w:rFonts w:eastAsia="Times New Roman"/>
          <w:lang w:val="en-GB"/>
        </w:rPr>
        <w:t>for</w:t>
      </w:r>
      <w:r w:rsidRPr="00550C1F">
        <w:rPr>
          <w:rFonts w:eastAsia="Times New Roman"/>
          <w:lang w:val="en-GB"/>
        </w:rPr>
        <w:t xml:space="preserve"> the ORR being able to carry out its duties. We are not convinced that this needs </w:t>
      </w:r>
      <w:r w:rsidR="00026F80" w:rsidRPr="00550C1F">
        <w:rPr>
          <w:rFonts w:eastAsia="Times New Roman"/>
          <w:lang w:val="en-GB"/>
        </w:rPr>
        <w:t xml:space="preserve">to </w:t>
      </w:r>
      <w:r w:rsidRPr="00550C1F">
        <w:rPr>
          <w:rFonts w:eastAsia="Times New Roman"/>
          <w:lang w:val="en-GB"/>
        </w:rPr>
        <w:t>apply to non-GBR operators as the ORR’s new role means that less information is likely to be needed than presently.</w:t>
      </w:r>
      <w:r w:rsidRPr="00550C1F">
        <w:rPr>
          <w:rFonts w:eastAsia="Times New Roman"/>
          <w:lang w:val="en-GB"/>
        </w:rPr>
        <w:br/>
      </w:r>
    </w:p>
    <w:p w14:paraId="77ECF150" w14:textId="77777777" w:rsidR="00AF5F0E" w:rsidRPr="00550C1F" w:rsidRDefault="00AF5F0E" w:rsidP="00043CA5">
      <w:pPr>
        <w:pStyle w:val="ListParagraph"/>
        <w:widowControl/>
        <w:numPr>
          <w:ilvl w:val="0"/>
          <w:numId w:val="2"/>
        </w:numPr>
        <w:autoSpaceDE/>
        <w:autoSpaceDN/>
        <w:spacing w:line="288" w:lineRule="auto"/>
        <w:ind w:left="357" w:hanging="357"/>
        <w:contextualSpacing/>
        <w:rPr>
          <w:lang w:val="en-GB"/>
        </w:rPr>
      </w:pPr>
      <w:r w:rsidRPr="00550C1F">
        <w:rPr>
          <w:lang w:val="en-GB"/>
        </w:rPr>
        <w:t>We agree that stakeholder management requirements should not be included in non-GBR licences.</w:t>
      </w:r>
      <w:r w:rsidRPr="00550C1F">
        <w:rPr>
          <w:lang w:val="en-GB"/>
        </w:rPr>
        <w:br/>
      </w:r>
    </w:p>
    <w:p w14:paraId="72314F00" w14:textId="479691A7" w:rsidR="00AF5F0E" w:rsidRPr="00550C1F" w:rsidRDefault="00AF5F0E" w:rsidP="00043CA5">
      <w:pPr>
        <w:pStyle w:val="ListParagraph"/>
        <w:widowControl/>
        <w:numPr>
          <w:ilvl w:val="0"/>
          <w:numId w:val="2"/>
        </w:numPr>
        <w:autoSpaceDE/>
        <w:autoSpaceDN/>
        <w:spacing w:line="288" w:lineRule="auto"/>
        <w:ind w:left="357" w:hanging="357"/>
        <w:contextualSpacing/>
        <w:rPr>
          <w:lang w:val="en-GB"/>
        </w:rPr>
      </w:pPr>
      <w:r w:rsidRPr="00550C1F">
        <w:rPr>
          <w:lang w:val="en-GB"/>
        </w:rPr>
        <w:t>We agree that long term asset stewardship and land protection are not appropriate for non-GBR licences.  For the GBR licence</w:t>
      </w:r>
      <w:r w:rsidR="003019E6" w:rsidRPr="00550C1F">
        <w:rPr>
          <w:lang w:val="en-GB"/>
        </w:rPr>
        <w:t>,</w:t>
      </w:r>
      <w:r w:rsidRPr="00550C1F">
        <w:rPr>
          <w:lang w:val="en-GB"/>
        </w:rPr>
        <w:t xml:space="preserve"> these are areas of key importance and where we await further information in due course.</w:t>
      </w:r>
      <w:r w:rsidRPr="00550C1F">
        <w:rPr>
          <w:lang w:val="en-GB"/>
        </w:rPr>
        <w:br/>
      </w:r>
    </w:p>
    <w:p w14:paraId="355BE9F1" w14:textId="77777777" w:rsidR="00557034" w:rsidRPr="00550C1F" w:rsidRDefault="00557034" w:rsidP="00043CA5">
      <w:pPr>
        <w:pStyle w:val="ListParagraph"/>
        <w:widowControl/>
        <w:numPr>
          <w:ilvl w:val="0"/>
          <w:numId w:val="2"/>
        </w:numPr>
        <w:autoSpaceDE/>
        <w:autoSpaceDN/>
        <w:spacing w:line="288" w:lineRule="auto"/>
        <w:ind w:left="357" w:hanging="357"/>
        <w:contextualSpacing/>
        <w:rPr>
          <w:lang w:val="en-GB"/>
        </w:rPr>
      </w:pPr>
      <w:r w:rsidRPr="00550C1F">
        <w:rPr>
          <w:lang w:val="en-GB"/>
        </w:rPr>
        <w:t>We note the position on claims handling, and note that it needs to be ‘symmetrical’ for GBR and non-GBR parties.</w:t>
      </w:r>
      <w:r w:rsidRPr="00550C1F">
        <w:rPr>
          <w:lang w:val="en-GB"/>
        </w:rPr>
        <w:br/>
      </w:r>
    </w:p>
    <w:p w14:paraId="116A332C" w14:textId="0652B959" w:rsidR="00557034" w:rsidRPr="00550C1F" w:rsidRDefault="00557034" w:rsidP="00043CA5">
      <w:pPr>
        <w:pStyle w:val="ListParagraph"/>
        <w:widowControl/>
        <w:numPr>
          <w:ilvl w:val="0"/>
          <w:numId w:val="2"/>
        </w:numPr>
        <w:autoSpaceDE/>
        <w:autoSpaceDN/>
        <w:spacing w:line="288" w:lineRule="auto"/>
        <w:ind w:left="357" w:hanging="357"/>
        <w:contextualSpacing/>
        <w:rPr>
          <w:lang w:val="en-GB"/>
        </w:rPr>
      </w:pPr>
      <w:r w:rsidRPr="00550C1F">
        <w:rPr>
          <w:lang w:val="en-GB"/>
        </w:rPr>
        <w:t xml:space="preserve">We note the position with </w:t>
      </w:r>
      <w:r w:rsidR="003019E6" w:rsidRPr="00550C1F">
        <w:rPr>
          <w:lang w:val="en-GB"/>
        </w:rPr>
        <w:t>industry-wide</w:t>
      </w:r>
      <w:r w:rsidRPr="00550C1F">
        <w:rPr>
          <w:lang w:val="en-GB"/>
        </w:rPr>
        <w:t xml:space="preserve"> systems.  Any requirements for non-GBR operators should be fit for purpose both for today’s systems and any future systems, whilst allowing for appropriate levels of market competitiveness and </w:t>
      </w:r>
      <w:r w:rsidR="003019E6" w:rsidRPr="00550C1F">
        <w:rPr>
          <w:lang w:val="en-GB"/>
        </w:rPr>
        <w:t>data-led</w:t>
      </w:r>
      <w:r w:rsidRPr="00550C1F">
        <w:rPr>
          <w:lang w:val="en-GB"/>
        </w:rPr>
        <w:t xml:space="preserve"> </w:t>
      </w:r>
      <w:r w:rsidRPr="00550C1F">
        <w:rPr>
          <w:lang w:val="en-GB"/>
        </w:rPr>
        <w:lastRenderedPageBreak/>
        <w:t>approaches.</w:t>
      </w:r>
      <w:r w:rsidRPr="00550C1F">
        <w:rPr>
          <w:lang w:val="en-GB"/>
        </w:rPr>
        <w:br/>
      </w:r>
    </w:p>
    <w:p w14:paraId="267FB3CD" w14:textId="02CFBAA5" w:rsidR="004D3A66" w:rsidRPr="00550C1F" w:rsidRDefault="00557034" w:rsidP="00043CA5">
      <w:pPr>
        <w:pStyle w:val="ListParagraph"/>
        <w:widowControl/>
        <w:numPr>
          <w:ilvl w:val="0"/>
          <w:numId w:val="2"/>
        </w:numPr>
        <w:autoSpaceDE/>
        <w:autoSpaceDN/>
        <w:spacing w:line="288" w:lineRule="auto"/>
        <w:ind w:left="357" w:hanging="357"/>
        <w:contextualSpacing/>
        <w:rPr>
          <w:lang w:val="en-GB"/>
        </w:rPr>
      </w:pPr>
      <w:r w:rsidRPr="00550C1F">
        <w:rPr>
          <w:lang w:val="en-GB"/>
        </w:rPr>
        <w:t xml:space="preserve">On safety and technical </w:t>
      </w:r>
      <w:r w:rsidR="00026F80" w:rsidRPr="00550C1F">
        <w:rPr>
          <w:lang w:val="en-GB"/>
        </w:rPr>
        <w:t>standards,</w:t>
      </w:r>
      <w:r w:rsidRPr="00550C1F">
        <w:rPr>
          <w:lang w:val="en-GB"/>
        </w:rPr>
        <w:t xml:space="preserve"> we support the proposed approach for non-GBR licences and note again that this should be symmetrical for the GBR licence</w:t>
      </w:r>
      <w:r w:rsidR="003019E6" w:rsidRPr="00550C1F">
        <w:rPr>
          <w:lang w:val="en-GB"/>
        </w:rPr>
        <w:t>;</w:t>
      </w:r>
      <w:r w:rsidRPr="00550C1F">
        <w:rPr>
          <w:lang w:val="en-GB"/>
        </w:rPr>
        <w:t xml:space="preserve"> for example</w:t>
      </w:r>
      <w:r w:rsidR="003019E6" w:rsidRPr="00550C1F">
        <w:rPr>
          <w:lang w:val="en-GB"/>
        </w:rPr>
        <w:t>,</w:t>
      </w:r>
      <w:r w:rsidRPr="00550C1F">
        <w:rPr>
          <w:lang w:val="en-GB"/>
        </w:rPr>
        <w:t xml:space="preserve"> we note that under the proposed GBR licence clause RSSB membership is not referenced</w:t>
      </w:r>
      <w:r w:rsidR="003019E6" w:rsidRPr="00550C1F">
        <w:rPr>
          <w:lang w:val="en-GB"/>
        </w:rPr>
        <w:t xml:space="preserve">, </w:t>
      </w:r>
      <w:r w:rsidRPr="00550C1F">
        <w:rPr>
          <w:lang w:val="en-GB"/>
        </w:rPr>
        <w:t>which would be a concern.</w:t>
      </w:r>
      <w:r w:rsidR="00225673" w:rsidRPr="00550C1F">
        <w:rPr>
          <w:lang w:val="en-GB"/>
        </w:rPr>
        <w:br/>
      </w:r>
    </w:p>
    <w:p w14:paraId="23CF922E" w14:textId="77777777" w:rsidR="003C2177" w:rsidRPr="00550C1F" w:rsidRDefault="003C2177" w:rsidP="003C2177">
      <w:pPr>
        <w:spacing w:line="288" w:lineRule="auto"/>
        <w:jc w:val="both"/>
        <w:rPr>
          <w:lang w:val="en-GB"/>
        </w:rPr>
      </w:pPr>
    </w:p>
    <w:p w14:paraId="2737BE13" w14:textId="77777777" w:rsidR="003C2177" w:rsidRPr="00550C1F" w:rsidRDefault="003C2177" w:rsidP="003C2177">
      <w:pPr>
        <w:spacing w:line="288" w:lineRule="auto"/>
        <w:jc w:val="both"/>
        <w:rPr>
          <w:lang w:val="en-GB"/>
        </w:rPr>
      </w:pPr>
    </w:p>
    <w:p w14:paraId="73C9D6F1" w14:textId="77777777" w:rsidR="003C2177" w:rsidRPr="00550C1F" w:rsidRDefault="003C2177" w:rsidP="003C2177">
      <w:pPr>
        <w:spacing w:line="288" w:lineRule="auto"/>
        <w:jc w:val="both"/>
        <w:rPr>
          <w:lang w:val="en-GB"/>
        </w:rPr>
      </w:pPr>
    </w:p>
    <w:p w14:paraId="593FB578" w14:textId="77777777" w:rsidR="003C2177" w:rsidRPr="00550C1F" w:rsidRDefault="003C2177" w:rsidP="003C2177">
      <w:pPr>
        <w:spacing w:line="288" w:lineRule="auto"/>
        <w:jc w:val="both"/>
        <w:rPr>
          <w:lang w:val="en-GB"/>
        </w:rPr>
      </w:pPr>
    </w:p>
    <w:p w14:paraId="2F025898" w14:textId="77777777" w:rsidR="003C2177" w:rsidRPr="00550C1F" w:rsidRDefault="003C2177" w:rsidP="003C2177">
      <w:pPr>
        <w:spacing w:line="288" w:lineRule="auto"/>
        <w:jc w:val="both"/>
        <w:rPr>
          <w:lang w:val="en-GB"/>
        </w:rPr>
      </w:pPr>
    </w:p>
    <w:p w14:paraId="09A7C94D" w14:textId="77777777" w:rsidR="003C2177" w:rsidRPr="00550C1F" w:rsidRDefault="003C2177" w:rsidP="003C2177">
      <w:pPr>
        <w:spacing w:line="288" w:lineRule="auto"/>
        <w:jc w:val="both"/>
        <w:rPr>
          <w:lang w:val="en-GB"/>
        </w:rPr>
      </w:pPr>
    </w:p>
    <w:p w14:paraId="784CB9BD" w14:textId="77777777" w:rsidR="003C2177" w:rsidRPr="00550C1F" w:rsidRDefault="003C2177" w:rsidP="003C2177">
      <w:pPr>
        <w:spacing w:line="288" w:lineRule="auto"/>
        <w:jc w:val="both"/>
        <w:rPr>
          <w:lang w:val="en-GB"/>
        </w:rPr>
      </w:pPr>
    </w:p>
    <w:p w14:paraId="38E4956A" w14:textId="77777777" w:rsidR="003C2177" w:rsidRPr="00550C1F" w:rsidRDefault="003C2177" w:rsidP="003C2177">
      <w:pPr>
        <w:spacing w:line="288" w:lineRule="auto"/>
        <w:jc w:val="both"/>
        <w:rPr>
          <w:lang w:val="en-GB"/>
        </w:rPr>
      </w:pPr>
    </w:p>
    <w:sectPr w:rsidR="003C2177" w:rsidRPr="00550C1F" w:rsidSect="001870F3">
      <w:headerReference w:type="even" r:id="rId7"/>
      <w:headerReference w:type="default" r:id="rId8"/>
      <w:footerReference w:type="even" r:id="rId9"/>
      <w:footerReference w:type="default" r:id="rId10"/>
      <w:headerReference w:type="first" r:id="rId11"/>
      <w:footerReference w:type="first" r:id="rId12"/>
      <w:pgSz w:w="1190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E34E" w14:textId="77777777" w:rsidR="00E85B5B" w:rsidRDefault="00E85B5B" w:rsidP="00A13B14">
      <w:r>
        <w:separator/>
      </w:r>
    </w:p>
  </w:endnote>
  <w:endnote w:type="continuationSeparator" w:id="0">
    <w:p w14:paraId="128CDB7E" w14:textId="77777777" w:rsidR="00E85B5B" w:rsidRDefault="00E85B5B" w:rsidP="00A1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2095179"/>
      <w:docPartObj>
        <w:docPartGallery w:val="Page Numbers (Bottom of Page)"/>
        <w:docPartUnique/>
      </w:docPartObj>
    </w:sdtPr>
    <w:sdtContent>
      <w:p w14:paraId="7D24ED3B" w14:textId="05F0063E" w:rsidR="00A13B14" w:rsidRDefault="00A13B14" w:rsidP="00EE1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EBEE62" w14:textId="77777777" w:rsidR="00A13B14" w:rsidRDefault="00A13B14" w:rsidP="00A13B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130"/>
      <w:docPartObj>
        <w:docPartGallery w:val="Page Numbers (Bottom of Page)"/>
        <w:docPartUnique/>
      </w:docPartObj>
    </w:sdtPr>
    <w:sdtEndPr>
      <w:rPr>
        <w:noProof/>
      </w:rPr>
    </w:sdtEndPr>
    <w:sdtContent>
      <w:p w14:paraId="06B73A2F" w14:textId="149C06F3" w:rsidR="00077FAF" w:rsidRDefault="00077FAF">
        <w:pPr>
          <w:pStyle w:val="Footer"/>
          <w:jc w:val="right"/>
        </w:pPr>
        <w:r w:rsidRPr="0098331C">
          <w:rPr>
            <w:noProof/>
          </w:rPr>
          <mc:AlternateContent>
            <mc:Choice Requires="wpg">
              <w:drawing>
                <wp:anchor distT="0" distB="0" distL="0" distR="0" simplePos="0" relativeHeight="251659264" behindDoc="0" locked="0" layoutInCell="1" allowOverlap="1" wp14:anchorId="5EC45D8E" wp14:editId="4BCB1A1C">
                  <wp:simplePos x="0" y="0"/>
                  <wp:positionH relativeFrom="page">
                    <wp:align>right</wp:align>
                  </wp:positionH>
                  <wp:positionV relativeFrom="page">
                    <wp:posOffset>9991725</wp:posOffset>
                  </wp:positionV>
                  <wp:extent cx="75533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4FA79B8" id="Group 1" o:spid="_x0000_s1026" style="position:absolute;margin-left:543.55pt;margin-top:786.75pt;width:594.75pt;height:61.35pt;z-index:251659264;mso-wrap-distance-left:0;mso-wrap-distance-right:0;mso-position-horizontal:right;mso-position-horizontal-relative:page;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OZC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7248" w14:textId="77777777" w:rsidR="008A6596" w:rsidRDefault="008A6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09DC" w14:textId="77777777" w:rsidR="00E85B5B" w:rsidRDefault="00E85B5B" w:rsidP="00A13B14">
      <w:r>
        <w:separator/>
      </w:r>
    </w:p>
  </w:footnote>
  <w:footnote w:type="continuationSeparator" w:id="0">
    <w:p w14:paraId="7BC89B89" w14:textId="77777777" w:rsidR="00E85B5B" w:rsidRDefault="00E85B5B" w:rsidP="00A1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10A3" w14:textId="77777777" w:rsidR="008A6596" w:rsidRDefault="008A65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9CED" w14:textId="35A01578" w:rsidR="00A65C6C" w:rsidRDefault="00A65C6C">
    <w:pPr>
      <w:pStyle w:val="Header"/>
    </w:pPr>
    <w:r w:rsidRPr="0098331C">
      <w:rPr>
        <w:rFonts w:ascii="Times New Roman"/>
        <w:noProof/>
        <w:sz w:val="20"/>
      </w:rPr>
      <w:drawing>
        <wp:inline distT="0" distB="0" distL="0" distR="0" wp14:anchorId="4958583A" wp14:editId="5D3D8EE5">
          <wp:extent cx="810702" cy="5572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0702" cy="557212"/>
                  </a:xfrm>
                  <a:prstGeom prst="rect">
                    <a:avLst/>
                  </a:prstGeom>
                </pic:spPr>
              </pic:pic>
            </a:graphicData>
          </a:graphic>
        </wp:inline>
      </w:drawing>
    </w:r>
  </w:p>
  <w:p w14:paraId="6289139E" w14:textId="77777777" w:rsidR="00A65C6C" w:rsidRDefault="00A65C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F7FF" w14:textId="77777777" w:rsidR="008A6596" w:rsidRDefault="008A65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2C27"/>
    <w:multiLevelType w:val="hybridMultilevel"/>
    <w:tmpl w:val="55DEB2AC"/>
    <w:lvl w:ilvl="0" w:tplc="09488F92">
      <w:start w:val="1"/>
      <w:numFmt w:val="decimal"/>
      <w:lvlText w:val="%1."/>
      <w:lvlJc w:val="left"/>
      <w:pPr>
        <w:ind w:left="644" w:hanging="360"/>
      </w:pPr>
      <w:rPr>
        <w:b w:val="0"/>
        <w:bCs w:val="0"/>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 w15:restartNumberingAfterBreak="0">
    <w:nsid w:val="48837CB9"/>
    <w:multiLevelType w:val="hybridMultilevel"/>
    <w:tmpl w:val="3B28F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225968"/>
    <w:multiLevelType w:val="hybridMultilevel"/>
    <w:tmpl w:val="B6BCFA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282982">
    <w:abstractNumId w:val="1"/>
  </w:num>
  <w:num w:numId="2" w16cid:durableId="1436095540">
    <w:abstractNumId w:val="0"/>
  </w:num>
  <w:num w:numId="3" w16cid:durableId="433013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55"/>
    <w:rsid w:val="00026F80"/>
    <w:rsid w:val="000429C4"/>
    <w:rsid w:val="00042B4D"/>
    <w:rsid w:val="00043450"/>
    <w:rsid w:val="00043CA5"/>
    <w:rsid w:val="00077FAF"/>
    <w:rsid w:val="0008475A"/>
    <w:rsid w:val="000D7668"/>
    <w:rsid w:val="0010117A"/>
    <w:rsid w:val="001314FF"/>
    <w:rsid w:val="001870F3"/>
    <w:rsid w:val="001A6CAD"/>
    <w:rsid w:val="001F6DDB"/>
    <w:rsid w:val="00225673"/>
    <w:rsid w:val="00247861"/>
    <w:rsid w:val="002D1841"/>
    <w:rsid w:val="003019E6"/>
    <w:rsid w:val="0032446B"/>
    <w:rsid w:val="003C2177"/>
    <w:rsid w:val="003C3D97"/>
    <w:rsid w:val="00441B02"/>
    <w:rsid w:val="0049107C"/>
    <w:rsid w:val="004A0A64"/>
    <w:rsid w:val="004D3A66"/>
    <w:rsid w:val="004E10A9"/>
    <w:rsid w:val="00522293"/>
    <w:rsid w:val="005312A2"/>
    <w:rsid w:val="0054601E"/>
    <w:rsid w:val="00550C1F"/>
    <w:rsid w:val="00550E2F"/>
    <w:rsid w:val="00557034"/>
    <w:rsid w:val="005872CF"/>
    <w:rsid w:val="006569E3"/>
    <w:rsid w:val="00661B53"/>
    <w:rsid w:val="006C0879"/>
    <w:rsid w:val="006C14C3"/>
    <w:rsid w:val="006E57DA"/>
    <w:rsid w:val="007643A7"/>
    <w:rsid w:val="0077370F"/>
    <w:rsid w:val="00780608"/>
    <w:rsid w:val="007D793E"/>
    <w:rsid w:val="00820FA6"/>
    <w:rsid w:val="008A6596"/>
    <w:rsid w:val="008B6C93"/>
    <w:rsid w:val="00956341"/>
    <w:rsid w:val="0098331C"/>
    <w:rsid w:val="009C3C77"/>
    <w:rsid w:val="009C7820"/>
    <w:rsid w:val="00A13B14"/>
    <w:rsid w:val="00A53B23"/>
    <w:rsid w:val="00A65C6C"/>
    <w:rsid w:val="00AF1C61"/>
    <w:rsid w:val="00AF5F0E"/>
    <w:rsid w:val="00B10C9A"/>
    <w:rsid w:val="00B91709"/>
    <w:rsid w:val="00B93181"/>
    <w:rsid w:val="00C05E65"/>
    <w:rsid w:val="00C77147"/>
    <w:rsid w:val="00CC3BEE"/>
    <w:rsid w:val="00D35DB2"/>
    <w:rsid w:val="00D7161B"/>
    <w:rsid w:val="00DC0966"/>
    <w:rsid w:val="00E342D1"/>
    <w:rsid w:val="00E820AA"/>
    <w:rsid w:val="00E85B5B"/>
    <w:rsid w:val="00E91153"/>
    <w:rsid w:val="00EC7E37"/>
    <w:rsid w:val="00F5416B"/>
    <w:rsid w:val="00F662DF"/>
    <w:rsid w:val="00F76FB3"/>
    <w:rsid w:val="00F82315"/>
    <w:rsid w:val="00F9602C"/>
    <w:rsid w:val="00FC2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4753"/>
  <w15:docId w15:val="{BCF4AA98-8D35-D747-9342-6869D3A5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0"/>
    </w:pPr>
    <w:rPr>
      <w:sz w:val="24"/>
      <w:szCs w:val="24"/>
    </w:rPr>
  </w:style>
  <w:style w:type="paragraph" w:styleId="Title">
    <w:name w:val="Title"/>
    <w:basedOn w:val="Normal"/>
    <w:uiPriority w:val="10"/>
    <w:qFormat/>
    <w:pPr>
      <w:spacing w:before="343"/>
      <w:ind w:left="570"/>
    </w:pPr>
    <w:rPr>
      <w:rFonts w:ascii="Trebuchet MS" w:eastAsia="Trebuchet MS" w:hAnsi="Trebuchet MS" w:cs="Trebuchet MS"/>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3B14"/>
    <w:pPr>
      <w:tabs>
        <w:tab w:val="center" w:pos="4513"/>
        <w:tab w:val="right" w:pos="9026"/>
      </w:tabs>
    </w:pPr>
  </w:style>
  <w:style w:type="character" w:customStyle="1" w:styleId="FooterChar">
    <w:name w:val="Footer Char"/>
    <w:basedOn w:val="DefaultParagraphFont"/>
    <w:link w:val="Footer"/>
    <w:uiPriority w:val="99"/>
    <w:rsid w:val="00A13B14"/>
    <w:rPr>
      <w:rFonts w:ascii="Arial" w:eastAsia="Arial" w:hAnsi="Arial" w:cs="Arial"/>
    </w:rPr>
  </w:style>
  <w:style w:type="character" w:styleId="PageNumber">
    <w:name w:val="page number"/>
    <w:basedOn w:val="DefaultParagraphFont"/>
    <w:uiPriority w:val="99"/>
    <w:semiHidden/>
    <w:unhideWhenUsed/>
    <w:rsid w:val="00A13B14"/>
  </w:style>
  <w:style w:type="paragraph" w:styleId="Header">
    <w:name w:val="header"/>
    <w:basedOn w:val="Normal"/>
    <w:link w:val="HeaderChar"/>
    <w:uiPriority w:val="99"/>
    <w:unhideWhenUsed/>
    <w:rsid w:val="00077FAF"/>
    <w:pPr>
      <w:tabs>
        <w:tab w:val="center" w:pos="4513"/>
        <w:tab w:val="right" w:pos="9026"/>
      </w:tabs>
    </w:pPr>
  </w:style>
  <w:style w:type="character" w:customStyle="1" w:styleId="HeaderChar">
    <w:name w:val="Header Char"/>
    <w:basedOn w:val="DefaultParagraphFont"/>
    <w:link w:val="Header"/>
    <w:uiPriority w:val="99"/>
    <w:rsid w:val="00077FA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DRAFT Consultation response</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response</dc:title>
  <dc:creator>Rail Freight Group</dc:creator>
  <cp:keywords>DAFj0wUkxcg,BAFZmWwhmN4</cp:keywords>
  <cp:lastModifiedBy>Mathis Edwards</cp:lastModifiedBy>
  <cp:revision>2</cp:revision>
  <cp:lastPrinted>2024-09-23T08:50:00Z</cp:lastPrinted>
  <dcterms:created xsi:type="dcterms:W3CDTF">2026-09-03T11:02:00Z</dcterms:created>
  <dcterms:modified xsi:type="dcterms:W3CDTF">2026-09-03T11:02:00Z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3-Heights(TM) PDF Security Shell 4.8.25.2 (http://www.pdf-tools.com)</vt:lpwstr>
  </property>
  <property fmtid="{D5CDD505-2E9C-101B-9397-08002B2CF9AE}" pid="6" name="GrammarlyDocumentId">
    <vt:lpwstr>7057c6ea-1ba8-4d6f-8368-42ba25848896</vt:lpwstr>
  </property>
</Properties>
</file>